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3AEF74">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1312" behindDoc="0" locked="0" layoutInCell="1" allowOverlap="1">
            <wp:simplePos x="0" y="0"/>
            <wp:positionH relativeFrom="column">
              <wp:posOffset>2448560</wp:posOffset>
            </wp:positionH>
            <wp:positionV relativeFrom="paragraph">
              <wp:posOffset>1270</wp:posOffset>
            </wp:positionV>
            <wp:extent cx="1056640" cy="1000760"/>
            <wp:effectExtent l="0" t="0" r="10160" b="8890"/>
            <wp:wrapNone/>
            <wp:docPr id="1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pic:cNvPicPr>
                      <a:picLocks noChangeAspect="1"/>
                    </pic:cNvPicPr>
                  </pic:nvPicPr>
                  <pic:blipFill>
                    <a:blip r:embed="rId8"/>
                    <a:stretch>
                      <a:fillRect/>
                    </a:stretch>
                  </pic:blipFill>
                  <pic:spPr>
                    <a:xfrm>
                      <a:off x="0" y="0"/>
                      <a:ext cx="1056640" cy="1000760"/>
                    </a:xfrm>
                    <a:prstGeom prst="rect">
                      <a:avLst/>
                    </a:prstGeom>
                    <a:noFill/>
                    <a:ln>
                      <a:noFill/>
                    </a:ln>
                  </pic:spPr>
                </pic:pic>
              </a:graphicData>
            </a:graphic>
          </wp:anchor>
        </w:drawing>
      </w:r>
    </w:p>
    <w:p w14:paraId="57E2FF86">
      <w:pPr>
        <w:pageBreakBefore w:val="0"/>
        <w:overflowPunct/>
        <w:topLinePunct w:val="0"/>
        <w:bidi w:val="0"/>
        <w:spacing w:line="440" w:lineRule="exact"/>
        <w:ind w:firstLine="1280" w:firstLineChars="400"/>
        <w:rPr>
          <w:rFonts w:hint="default" w:ascii="黑体" w:hAnsi="黑体" w:eastAsia="黑体" w:cs="黑体"/>
          <w:color w:val="FF0000"/>
          <w:sz w:val="36"/>
          <w:szCs w:val="36"/>
          <w:lang w:val="en-US" w:eastAsia="zh-CN"/>
        </w:rPr>
      </w:pPr>
      <w:r>
        <w:rPr>
          <w:rFonts w:hint="eastAsia" w:ascii="黑体" w:hAnsi="黑体" w:eastAsia="黑体" w:cs="黑体"/>
          <w:color w:val="000000" w:themeColor="text1"/>
          <w:sz w:val="32"/>
          <w:szCs w:val="32"/>
          <w14:textFill>
            <w14:solidFill>
              <w14:schemeClr w14:val="tx1"/>
            </w14:solidFill>
          </w14:textFill>
        </w:rPr>
        <w:t xml:space="preserve">自治区重点职高 </w:t>
      </w:r>
      <w:r>
        <w:rPr>
          <w:rFonts w:hint="eastAsia" w:ascii="黑体" w:hAnsi="黑体" w:eastAsia="黑体" w:cs="黑体"/>
          <w:color w:val="000000" w:themeColor="text1"/>
          <w:sz w:val="36"/>
          <w:szCs w:val="36"/>
          <w14:textFill>
            <w14:solidFill>
              <w14:schemeClr w14:val="tx1"/>
            </w14:solidFill>
          </w14:textFill>
        </w:rPr>
        <w:t xml:space="preserve">           </w:t>
      </w:r>
      <w:r>
        <w:rPr>
          <w:rFonts w:hint="eastAsia" w:ascii="黑体" w:hAnsi="黑体" w:eastAsia="黑体" w:cs="黑体"/>
          <w:color w:val="000000" w:themeColor="text1"/>
          <w:sz w:val="36"/>
          <w:szCs w:val="36"/>
          <w:lang w:val="en-US" w:eastAsia="zh-CN"/>
          <w14:textFill>
            <w14:solidFill>
              <w14:schemeClr w14:val="tx1"/>
            </w14:solidFill>
          </w14:textFill>
        </w:rPr>
        <w:t xml:space="preserve"> </w:t>
      </w:r>
      <w:r>
        <w:rPr>
          <w:rFonts w:hint="eastAsia" w:ascii="黑体" w:hAnsi="黑体" w:eastAsia="黑体" w:cs="黑体"/>
          <w:color w:val="000000" w:themeColor="text1"/>
          <w:sz w:val="32"/>
          <w:szCs w:val="32"/>
          <w14:textFill>
            <w14:solidFill>
              <w14:schemeClr w14:val="tx1"/>
            </w14:solidFill>
          </w14:textFill>
        </w:rPr>
        <w:t>自治区示范校</w:t>
      </w:r>
    </w:p>
    <w:p w14:paraId="7C9C0C79">
      <w:pPr>
        <w:pageBreakBefore w:val="0"/>
        <w:overflowPunct/>
        <w:topLinePunct w:val="0"/>
        <w:bidi w:val="0"/>
        <w:spacing w:line="440" w:lineRule="exact"/>
        <w:jc w:val="center"/>
        <w:rPr>
          <w:rFonts w:ascii="黑体" w:hAnsi="黑体" w:eastAsia="黑体" w:cs="黑体"/>
          <w:color w:val="000000" w:themeColor="text1"/>
          <w:sz w:val="36"/>
          <w:szCs w:val="36"/>
          <w14:textFill>
            <w14:solidFill>
              <w14:schemeClr w14:val="tx1"/>
            </w14:solidFill>
          </w14:textFill>
        </w:rPr>
      </w:pPr>
      <w:r>
        <w:rPr>
          <w:rFonts w:hint="eastAsia" w:ascii="黑体" w:hAnsi="黑体" w:eastAsia="黑体" w:cs="黑体"/>
          <w:color w:val="000000" w:themeColor="text1"/>
          <w:sz w:val="36"/>
          <w:szCs w:val="36"/>
          <w14:textFill>
            <w14:solidFill>
              <w14:schemeClr w14:val="tx1"/>
            </w14:solidFill>
          </w14:textFill>
        </w:rPr>
        <w:t xml:space="preserve"> </w:t>
      </w:r>
    </w:p>
    <w:p w14:paraId="23085A35">
      <w:pPr>
        <w:pageBreakBefore w:val="0"/>
        <w:overflowPunct/>
        <w:topLinePunct w:val="0"/>
        <w:bidi w:val="0"/>
        <w:spacing w:line="440" w:lineRule="exact"/>
        <w:jc w:val="center"/>
        <w:rPr>
          <w:rFonts w:hint="eastAsia" w:ascii="黑体" w:hAnsi="黑体" w:eastAsia="黑体" w:cs="黑体"/>
          <w:b/>
          <w:bCs/>
          <w:color w:val="000000" w:themeColor="text1"/>
          <w:sz w:val="44"/>
          <w:szCs w:val="44"/>
          <w14:textFill>
            <w14:solidFill>
              <w14:schemeClr w14:val="tx1"/>
            </w14:solidFill>
          </w14:textFill>
        </w:rPr>
      </w:pPr>
    </w:p>
    <w:p w14:paraId="597E7EA8">
      <w:pPr>
        <w:pageBreakBefore w:val="0"/>
        <w:overflowPunct/>
        <w:topLinePunct w:val="0"/>
        <w:bidi w:val="0"/>
        <w:spacing w:line="440" w:lineRule="exact"/>
        <w:jc w:val="center"/>
        <w:rPr>
          <w:rFonts w:ascii="黑体" w:hAnsi="黑体" w:eastAsia="黑体" w:cs="黑体"/>
          <w:b/>
          <w:bCs/>
          <w:color w:val="000000" w:themeColor="text1"/>
          <w:sz w:val="44"/>
          <w:szCs w:val="44"/>
          <w14:textFill>
            <w14:solidFill>
              <w14:schemeClr w14:val="tx1"/>
            </w14:solidFill>
          </w14:textFill>
        </w:rPr>
      </w:pPr>
      <w:r>
        <w:rPr>
          <w:rFonts w:hint="eastAsia" w:ascii="黑体" w:hAnsi="黑体" w:eastAsia="黑体" w:cs="黑体"/>
          <w:b/>
          <w:bCs/>
          <w:color w:val="000000" w:themeColor="text1"/>
          <w:sz w:val="44"/>
          <w:szCs w:val="44"/>
          <w14:textFill>
            <w14:solidFill>
              <w14:schemeClr w14:val="tx1"/>
            </w14:solidFill>
          </w14:textFill>
        </w:rPr>
        <w:t>杭锦后旗职业教育中心202</w:t>
      </w:r>
      <w:r>
        <w:rPr>
          <w:rFonts w:hint="eastAsia" w:ascii="黑体" w:hAnsi="黑体" w:eastAsia="黑体" w:cs="黑体"/>
          <w:b/>
          <w:bCs/>
          <w:color w:val="000000" w:themeColor="text1"/>
          <w:sz w:val="44"/>
          <w:szCs w:val="44"/>
          <w:lang w:val="en-US" w:eastAsia="zh-CN"/>
          <w14:textFill>
            <w14:solidFill>
              <w14:schemeClr w14:val="tx1"/>
            </w14:solidFill>
          </w14:textFill>
        </w:rPr>
        <w:t>5</w:t>
      </w:r>
      <w:r>
        <w:rPr>
          <w:rFonts w:hint="eastAsia" w:ascii="黑体" w:hAnsi="黑体" w:eastAsia="黑体" w:cs="黑体"/>
          <w:b/>
          <w:bCs/>
          <w:color w:val="000000" w:themeColor="text1"/>
          <w:sz w:val="44"/>
          <w:szCs w:val="44"/>
          <w14:textFill>
            <w14:solidFill>
              <w14:schemeClr w14:val="tx1"/>
            </w14:solidFill>
          </w14:textFill>
        </w:rPr>
        <w:t>年度质量报告</w:t>
      </w:r>
    </w:p>
    <w:p w14:paraId="26EE3A37">
      <w:pPr>
        <w:pageBreakBefore w:val="0"/>
        <w:overflowPunct/>
        <w:topLinePunct w:val="0"/>
        <w:bidi w:val="0"/>
        <w:spacing w:line="440" w:lineRule="exact"/>
        <w:jc w:val="center"/>
        <w:rPr>
          <w:rFonts w:ascii="Times New Roman" w:hAnsi="Times New Roman" w:eastAsia="宋体" w:cs="Times New Roman"/>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HANG JIN HOU QI ZHI YE JIAO YU ZHONG XIN 202</w:t>
      </w:r>
      <w:r>
        <w:rPr>
          <w:rFonts w:hint="eastAsia" w:ascii="宋体" w:hAnsi="宋体" w:eastAsia="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 xml:space="preserve"> NIAN DU ZHI LIANG BAO GAO</w:t>
      </w:r>
    </w:p>
    <w:p w14:paraId="28D1292E">
      <w:pPr>
        <w:pageBreakBefore w:val="0"/>
        <w:overflowPunct/>
        <w:topLinePunct w:val="0"/>
        <w:bidi w:val="0"/>
        <w:spacing w:line="440" w:lineRule="exact"/>
        <w:rPr>
          <w:rFonts w:ascii="Times New Roman" w:hAnsi="Times New Roman" w:eastAsia="宋体" w:cs="Times New Roman"/>
          <w:color w:val="000000" w:themeColor="text1"/>
          <w:szCs w:val="21"/>
          <w14:textFill>
            <w14:solidFill>
              <w14:schemeClr w14:val="tx1"/>
            </w14:solidFill>
          </w14:textFill>
        </w:rPr>
      </w:pPr>
    </w:p>
    <w:p w14:paraId="54007B11">
      <w:pPr>
        <w:pageBreakBefore w:val="0"/>
        <w:overflowPunct/>
        <w:topLinePunct w:val="0"/>
        <w:bidi w:val="0"/>
        <w:spacing w:line="440" w:lineRule="exact"/>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4"/>
          <w:lang w:eastAsia="zh-CN"/>
          <w14:textFill>
            <w14:solidFill>
              <w14:schemeClr w14:val="tx1"/>
            </w14:solidFill>
          </w14:textFill>
        </w:rPr>
        <w:drawing>
          <wp:anchor distT="0" distB="0" distL="114300" distR="114300" simplePos="0" relativeHeight="251682816" behindDoc="0" locked="0" layoutInCell="1" allowOverlap="1">
            <wp:simplePos x="0" y="0"/>
            <wp:positionH relativeFrom="column">
              <wp:posOffset>12700</wp:posOffset>
            </wp:positionH>
            <wp:positionV relativeFrom="paragraph">
              <wp:posOffset>259080</wp:posOffset>
            </wp:positionV>
            <wp:extent cx="5795010" cy="4326255"/>
            <wp:effectExtent l="0" t="0" r="15240" b="17145"/>
            <wp:wrapNone/>
            <wp:docPr id="4" name="图片 4" descr="d5b1613a664ac1d7e1e117b4d1bc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5b1613a664ac1d7e1e117b4d1bc8745"/>
                    <pic:cNvPicPr>
                      <a:picLocks noChangeAspect="1"/>
                    </pic:cNvPicPr>
                  </pic:nvPicPr>
                  <pic:blipFill>
                    <a:blip r:embed="rId9"/>
                    <a:stretch>
                      <a:fillRect/>
                    </a:stretch>
                  </pic:blipFill>
                  <pic:spPr>
                    <a:xfrm>
                      <a:off x="0" y="0"/>
                      <a:ext cx="5795010" cy="4326255"/>
                    </a:xfrm>
                    <a:prstGeom prst="rect">
                      <a:avLst/>
                    </a:prstGeom>
                  </pic:spPr>
                </pic:pic>
              </a:graphicData>
            </a:graphic>
          </wp:anchor>
        </w:drawing>
      </w:r>
      <w:r>
        <w:rPr>
          <w:rFonts w:hint="eastAsia" w:ascii="Times New Roman" w:hAnsi="Times New Roman" w:eastAsia="宋体" w:cs="Times New Roman"/>
          <w:color w:val="000000" w:themeColor="text1"/>
          <w:szCs w:val="24"/>
          <w:lang w:eastAsia="zh-CN"/>
          <w14:textFill>
            <w14:solidFill>
              <w14:schemeClr w14:val="tx1"/>
            </w14:solidFill>
          </w14:textFill>
        </w:rPr>
        <w:drawing>
          <wp:anchor distT="0" distB="0" distL="114300" distR="114300" simplePos="0" relativeHeight="251679744" behindDoc="0" locked="0" layoutInCell="1" allowOverlap="1">
            <wp:simplePos x="0" y="0"/>
            <wp:positionH relativeFrom="column">
              <wp:posOffset>28575</wp:posOffset>
            </wp:positionH>
            <wp:positionV relativeFrom="paragraph">
              <wp:posOffset>258445</wp:posOffset>
            </wp:positionV>
            <wp:extent cx="5752465" cy="4312285"/>
            <wp:effectExtent l="0" t="0" r="635" b="12065"/>
            <wp:wrapNone/>
            <wp:docPr id="9" name="图片 9" descr="666540b45eacddfa490efbcb8fb081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66540b45eacddfa490efbcb8fb081fd"/>
                    <pic:cNvPicPr>
                      <a:picLocks noChangeAspect="1"/>
                    </pic:cNvPicPr>
                  </pic:nvPicPr>
                  <pic:blipFill>
                    <a:blip r:embed="rId10"/>
                    <a:stretch>
                      <a:fillRect/>
                    </a:stretch>
                  </pic:blipFill>
                  <pic:spPr>
                    <a:xfrm>
                      <a:off x="0" y="0"/>
                      <a:ext cx="5752465" cy="4312285"/>
                    </a:xfrm>
                    <a:prstGeom prst="rect">
                      <a:avLst/>
                    </a:prstGeom>
                  </pic:spPr>
                </pic:pic>
              </a:graphicData>
            </a:graphic>
          </wp:anchor>
        </w:drawing>
      </w:r>
    </w:p>
    <w:p w14:paraId="6457C015">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p>
    <w:p w14:paraId="27720632">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p>
    <w:p w14:paraId="35082441">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bookmarkStart w:id="1" w:name="_GoBack"/>
      <w:bookmarkEnd w:id="1"/>
    </w:p>
    <w:p w14:paraId="61DAE8D4">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p>
    <w:p w14:paraId="4B65EE03">
      <w:pPr>
        <w:pageBreakBefore w:val="0"/>
        <w:overflowPunct/>
        <w:topLinePunct w:val="0"/>
        <w:bidi w:val="0"/>
        <w:spacing w:line="440" w:lineRule="exact"/>
        <w:rPr>
          <w:rFonts w:hint="eastAsia" w:ascii="Times New Roman" w:hAnsi="Times New Roman" w:eastAsia="宋体" w:cs="Times New Roman"/>
          <w:color w:val="000000" w:themeColor="text1"/>
          <w:szCs w:val="24"/>
          <w:lang w:eastAsia="zh-CN"/>
          <w14:textFill>
            <w14:solidFill>
              <w14:schemeClr w14:val="tx1"/>
            </w14:solidFill>
          </w14:textFill>
        </w:rPr>
      </w:pPr>
    </w:p>
    <w:p w14:paraId="30EEEB56">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p>
    <w:p w14:paraId="20ED9C56">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1158875</wp:posOffset>
                </wp:positionH>
                <wp:positionV relativeFrom="paragraph">
                  <wp:posOffset>26035</wp:posOffset>
                </wp:positionV>
                <wp:extent cx="3850640" cy="1518285"/>
                <wp:effectExtent l="0" t="0" r="16510" b="5715"/>
                <wp:wrapNone/>
                <wp:docPr id="5" name="文本框 5"/>
                <wp:cNvGraphicFramePr/>
                <a:graphic xmlns:a="http://schemas.openxmlformats.org/drawingml/2006/main">
                  <a:graphicData uri="http://schemas.microsoft.com/office/word/2010/wordprocessingShape">
                    <wps:wsp>
                      <wps:cNvSpPr txBox="1"/>
                      <wps:spPr>
                        <a:xfrm>
                          <a:off x="0" y="0"/>
                          <a:ext cx="3850640" cy="1518285"/>
                        </a:xfrm>
                        <a:prstGeom prst="rect">
                          <a:avLst/>
                        </a:prstGeom>
                        <a:solidFill>
                          <a:srgbClr val="FFFFFF"/>
                        </a:solidFill>
                        <a:ln w="6350">
                          <a:noFill/>
                        </a:ln>
                        <a:effectLst/>
                      </wps:spPr>
                      <wps:txbx>
                        <w:txbxContent>
                          <w:p w14:paraId="382E5234"/>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1.25pt;margin-top:2.05pt;height:119.55pt;width:303.2pt;z-index:251660288;mso-width-relative:page;mso-height-relative:page;" fillcolor="#FFFFFF" filled="t" stroked="f" coordsize="21600,21600" o:gfxdata="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PsHWX3UAAAACQEA&#10;AA8AAAAAAAAAAQAgAAAAIgAAAGRycy9kb3ducmV2LnhtbFBLAQIUABQAAAAIAIdO4kA2pDrGVwIA&#10;AJ4EAAAOAAAAAAAAAAEAIAAAACMBAABkcnMvZTJvRG9jLnhtbFBLBQYAAAAABgAGAFkBAADsBQAA&#10;AAA=&#10;">
                <v:fill on="t" focussize="0,0"/>
                <v:stroke on="f" weight="0.5pt"/>
                <v:imagedata o:title=""/>
                <o:lock v:ext="edit" aspectratio="f"/>
                <v:textbox>
                  <w:txbxContent>
                    <w:p w14:paraId="382E5234"/>
                  </w:txbxContent>
                </v:textbox>
              </v:shape>
            </w:pict>
          </mc:Fallback>
        </mc:AlternateContent>
      </w:r>
    </w:p>
    <w:p w14:paraId="7B3D082C">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p>
    <w:p w14:paraId="0BF1F0C9">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p>
    <w:p w14:paraId="6A9E83DA">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p>
    <w:p w14:paraId="1D2AC2C1">
      <w:pPr>
        <w:pageBreakBefore w:val="0"/>
        <w:overflowPunct/>
        <w:topLinePunct w:val="0"/>
        <w:bidi w:val="0"/>
        <w:spacing w:line="440" w:lineRule="exact"/>
        <w:rPr>
          <w:rFonts w:ascii="Times New Roman" w:hAnsi="Times New Roman" w:eastAsia="宋体" w:cs="Times New Roman"/>
          <w:color w:val="000000" w:themeColor="text1"/>
          <w:szCs w:val="24"/>
          <w14:textFill>
            <w14:solidFill>
              <w14:schemeClr w14:val="tx1"/>
            </w14:solidFill>
          </w14:textFill>
        </w:rPr>
      </w:pPr>
    </w:p>
    <w:p w14:paraId="17F528ED">
      <w:pPr>
        <w:pageBreakBefore w:val="0"/>
        <w:overflowPunct/>
        <w:topLinePunct w:val="0"/>
        <w:bidi w:val="0"/>
        <w:spacing w:line="440" w:lineRule="exact"/>
        <w:jc w:val="both"/>
        <w:rPr>
          <w:rFonts w:ascii="黑体" w:hAnsi="黑体" w:eastAsia="黑体" w:cs="黑体"/>
          <w:b/>
          <w:bCs/>
          <w:i/>
          <w:color w:val="000000" w:themeColor="text1"/>
          <w:sz w:val="36"/>
          <w:szCs w:val="36"/>
          <w14:textFill>
            <w14:solidFill>
              <w14:schemeClr w14:val="tx1"/>
            </w14:solidFill>
          </w14:textFill>
        </w:rPr>
      </w:pPr>
    </w:p>
    <w:p w14:paraId="585DEA13">
      <w:pPr>
        <w:pageBreakBefore w:val="0"/>
        <w:overflowPunct/>
        <w:topLinePunct w:val="0"/>
        <w:bidi w:val="0"/>
        <w:spacing w:line="440" w:lineRule="exact"/>
        <w:jc w:val="center"/>
        <w:rPr>
          <w:rFonts w:ascii="黑体" w:hAnsi="黑体" w:eastAsia="黑体" w:cs="黑体"/>
          <w:b/>
          <w:bCs/>
          <w:color w:val="000000" w:themeColor="text1"/>
          <w:sz w:val="36"/>
          <w:szCs w:val="36"/>
          <w14:textFill>
            <w14:solidFill>
              <w14:schemeClr w14:val="tx1"/>
            </w14:solidFill>
          </w14:textFill>
        </w:rPr>
      </w:pPr>
    </w:p>
    <w:p w14:paraId="0DE80233">
      <w:pPr>
        <w:pageBreakBefore w:val="0"/>
        <w:overflowPunct/>
        <w:topLinePunct w:val="0"/>
        <w:bidi w:val="0"/>
        <w:spacing w:line="440" w:lineRule="exact"/>
        <w:jc w:val="center"/>
        <w:rPr>
          <w:rFonts w:hint="eastAsia" w:ascii="黑体" w:hAnsi="黑体" w:eastAsia="黑体" w:cs="黑体"/>
          <w:b/>
          <w:bCs/>
          <w:color w:val="000000" w:themeColor="text1"/>
          <w:sz w:val="36"/>
          <w:szCs w:val="36"/>
          <w14:textFill>
            <w14:solidFill>
              <w14:schemeClr w14:val="tx1"/>
            </w14:solidFill>
          </w14:textFill>
        </w:rPr>
      </w:pPr>
    </w:p>
    <w:p w14:paraId="0FC5FD62">
      <w:pPr>
        <w:pageBreakBefore w:val="0"/>
        <w:overflowPunct/>
        <w:topLinePunct w:val="0"/>
        <w:bidi w:val="0"/>
        <w:spacing w:line="440" w:lineRule="exact"/>
        <w:jc w:val="center"/>
        <w:rPr>
          <w:rFonts w:hint="eastAsia" w:ascii="黑体" w:hAnsi="黑体" w:eastAsia="黑体" w:cs="黑体"/>
          <w:b/>
          <w:bCs/>
          <w:color w:val="000000" w:themeColor="text1"/>
          <w:sz w:val="36"/>
          <w:szCs w:val="36"/>
          <w14:textFill>
            <w14:solidFill>
              <w14:schemeClr w14:val="tx1"/>
            </w14:solidFill>
          </w14:textFill>
        </w:rPr>
      </w:pPr>
    </w:p>
    <w:p w14:paraId="7BC15AB7">
      <w:pPr>
        <w:pageBreakBefore w:val="0"/>
        <w:overflowPunct/>
        <w:topLinePunct w:val="0"/>
        <w:bidi w:val="0"/>
        <w:spacing w:line="440" w:lineRule="exact"/>
        <w:jc w:val="center"/>
        <w:rPr>
          <w:rFonts w:hint="eastAsia" w:ascii="黑体" w:hAnsi="黑体" w:eastAsia="黑体" w:cs="黑体"/>
          <w:b/>
          <w:bCs/>
          <w:color w:val="000000" w:themeColor="text1"/>
          <w:sz w:val="36"/>
          <w:szCs w:val="36"/>
          <w14:textFill>
            <w14:solidFill>
              <w14:schemeClr w14:val="tx1"/>
            </w14:solidFill>
          </w14:textFill>
        </w:rPr>
      </w:pPr>
    </w:p>
    <w:p w14:paraId="37DDB634">
      <w:pPr>
        <w:pageBreakBefore w:val="0"/>
        <w:overflowPunct/>
        <w:topLinePunct w:val="0"/>
        <w:bidi w:val="0"/>
        <w:spacing w:line="440" w:lineRule="exact"/>
        <w:jc w:val="center"/>
        <w:rPr>
          <w:rFonts w:hint="eastAsia" w:ascii="黑体" w:hAnsi="黑体" w:eastAsia="黑体" w:cs="黑体"/>
          <w:b/>
          <w:bCs/>
          <w:color w:val="000000" w:themeColor="text1"/>
          <w:sz w:val="36"/>
          <w:szCs w:val="36"/>
          <w14:textFill>
            <w14:solidFill>
              <w14:schemeClr w14:val="tx1"/>
            </w14:solidFill>
          </w14:textFill>
        </w:rPr>
      </w:pPr>
    </w:p>
    <w:p w14:paraId="7023B73F">
      <w:pPr>
        <w:pageBreakBefore w:val="0"/>
        <w:overflowPunct/>
        <w:topLinePunct w:val="0"/>
        <w:bidi w:val="0"/>
        <w:spacing w:line="440" w:lineRule="exact"/>
        <w:jc w:val="center"/>
        <w:rPr>
          <w:rFonts w:ascii="黑体" w:hAnsi="黑体" w:eastAsia="黑体" w:cs="黑体"/>
          <w:b/>
          <w:bCs/>
          <w:color w:val="000000" w:themeColor="text1"/>
          <w:sz w:val="36"/>
          <w:szCs w:val="36"/>
          <w14:textFill>
            <w14:solidFill>
              <w14:schemeClr w14:val="tx1"/>
            </w14:solidFill>
          </w14:textFill>
        </w:rPr>
      </w:pPr>
      <w:r>
        <w:rPr>
          <w:rFonts w:hint="eastAsia" w:ascii="黑体" w:hAnsi="黑体" w:eastAsia="黑体" w:cs="黑体"/>
          <w:b/>
          <w:bCs/>
          <w:color w:val="000000" w:themeColor="text1"/>
          <w:sz w:val="36"/>
          <w:szCs w:val="36"/>
          <w14:textFill>
            <w14:solidFill>
              <w14:schemeClr w14:val="tx1"/>
            </w14:solidFill>
          </w14:textFill>
        </w:rPr>
        <w:t>杭锦后旗职业教育中心（</w:t>
      </w:r>
      <w:r>
        <w:rPr>
          <w:rFonts w:hint="eastAsia" w:ascii="黑体" w:hAnsi="黑体" w:eastAsia="黑体" w:cs="黑体"/>
          <w:b/>
          <w:bCs/>
          <w:color w:val="000000" w:themeColor="text1"/>
          <w:sz w:val="36"/>
          <w:szCs w:val="36"/>
          <w:lang w:eastAsia="zh-CN"/>
          <w14:textFill>
            <w14:solidFill>
              <w14:schemeClr w14:val="tx1"/>
            </w14:solidFill>
          </w14:textFill>
        </w:rPr>
        <w:t>巴彦淖尔应用技师学院</w:t>
      </w:r>
      <w:r>
        <w:rPr>
          <w:rFonts w:hint="eastAsia" w:ascii="黑体" w:hAnsi="黑体" w:eastAsia="黑体" w:cs="黑体"/>
          <w:b/>
          <w:bCs/>
          <w:color w:val="000000" w:themeColor="text1"/>
          <w:sz w:val="36"/>
          <w:szCs w:val="36"/>
          <w14:textFill>
            <w14:solidFill>
              <w14:schemeClr w14:val="tx1"/>
            </w14:solidFill>
          </w14:textFill>
        </w:rPr>
        <w:t>）</w:t>
      </w:r>
    </w:p>
    <w:p w14:paraId="07C7A818">
      <w:pPr>
        <w:pageBreakBefore w:val="0"/>
        <w:overflowPunct/>
        <w:topLinePunct w:val="0"/>
        <w:bidi w:val="0"/>
        <w:spacing w:line="440" w:lineRule="exact"/>
        <w:jc w:val="center"/>
        <w:rPr>
          <w:rFonts w:ascii="黑体" w:hAnsi="黑体" w:eastAsia="黑体" w:cs="黑体"/>
          <w:b/>
          <w:bCs/>
          <w:color w:val="000000" w:themeColor="text1"/>
          <w:sz w:val="36"/>
          <w:szCs w:val="36"/>
          <w14:textFill>
            <w14:solidFill>
              <w14:schemeClr w14:val="tx1"/>
            </w14:solidFill>
          </w14:textFill>
        </w:rPr>
      </w:pPr>
      <w:r>
        <w:rPr>
          <w:rFonts w:hint="eastAsia" w:ascii="黑体" w:hAnsi="黑体" w:eastAsia="黑体" w:cs="黑体"/>
          <w:b/>
          <w:bCs/>
          <w:color w:val="000000" w:themeColor="text1"/>
          <w:sz w:val="36"/>
          <w:szCs w:val="36"/>
          <w14:textFill>
            <w14:solidFill>
              <w14:schemeClr w14:val="tx1"/>
            </w14:solidFill>
          </w14:textFill>
        </w:rPr>
        <w:t>202</w:t>
      </w:r>
      <w:r>
        <w:rPr>
          <w:rFonts w:hint="eastAsia" w:ascii="黑体" w:hAnsi="黑体" w:eastAsia="黑体" w:cs="黑体"/>
          <w:b/>
          <w:bCs/>
          <w:color w:val="000000" w:themeColor="text1"/>
          <w:sz w:val="36"/>
          <w:szCs w:val="36"/>
          <w:lang w:val="en-US" w:eastAsia="zh-CN"/>
          <w14:textFill>
            <w14:solidFill>
              <w14:schemeClr w14:val="tx1"/>
            </w14:solidFill>
          </w14:textFill>
        </w:rPr>
        <w:t>5</w:t>
      </w:r>
      <w:r>
        <w:rPr>
          <w:rFonts w:hint="eastAsia" w:ascii="黑体" w:hAnsi="黑体" w:eastAsia="黑体" w:cs="黑体"/>
          <w:b/>
          <w:bCs/>
          <w:color w:val="000000" w:themeColor="text1"/>
          <w:sz w:val="36"/>
          <w:szCs w:val="36"/>
          <w14:textFill>
            <w14:solidFill>
              <w14:schemeClr w14:val="tx1"/>
            </w14:solidFill>
          </w14:textFill>
        </w:rPr>
        <w:t>年</w:t>
      </w:r>
      <w:r>
        <w:rPr>
          <w:rFonts w:ascii="黑体" w:hAnsi="黑体" w:eastAsia="黑体" w:cs="黑体"/>
          <w:b/>
          <w:bCs/>
          <w:color w:val="000000" w:themeColor="text1"/>
          <w:sz w:val="36"/>
          <w:szCs w:val="36"/>
          <w14:textFill>
            <w14:solidFill>
              <w14:schemeClr w14:val="tx1"/>
            </w14:solidFill>
          </w14:textFill>
        </w:rPr>
        <w:t>1</w:t>
      </w:r>
      <w:r>
        <w:rPr>
          <w:rFonts w:hint="eastAsia" w:ascii="黑体" w:hAnsi="黑体" w:eastAsia="黑体" w:cs="黑体"/>
          <w:b/>
          <w:bCs/>
          <w:color w:val="000000" w:themeColor="text1"/>
          <w:sz w:val="36"/>
          <w:szCs w:val="36"/>
          <w:lang w:val="en-US" w:eastAsia="zh-CN"/>
          <w14:textFill>
            <w14:solidFill>
              <w14:schemeClr w14:val="tx1"/>
            </w14:solidFill>
          </w14:textFill>
        </w:rPr>
        <w:t>2</w:t>
      </w:r>
      <w:r>
        <w:rPr>
          <w:rFonts w:hint="eastAsia" w:ascii="黑体" w:hAnsi="黑体" w:eastAsia="黑体" w:cs="黑体"/>
          <w:b/>
          <w:bCs/>
          <w:color w:val="000000" w:themeColor="text1"/>
          <w:sz w:val="36"/>
          <w:szCs w:val="36"/>
          <w14:textFill>
            <w14:solidFill>
              <w14:schemeClr w14:val="tx1"/>
            </w14:solidFill>
          </w14:textFill>
        </w:rPr>
        <w:t>月</w:t>
      </w:r>
    </w:p>
    <w:p w14:paraId="30D3E594">
      <w:pPr>
        <w:pageBreakBefore w:val="0"/>
        <w:overflowPunct/>
        <w:topLinePunct w:val="0"/>
        <w:bidi w:val="0"/>
        <w:spacing w:line="440" w:lineRule="exact"/>
        <w:jc w:val="both"/>
        <w:rPr>
          <w:rFonts w:hint="eastAsia" w:ascii="黑体" w:hAnsi="黑体" w:eastAsia="黑体" w:cs="黑体"/>
          <w:color w:val="000000" w:themeColor="text1"/>
          <w:sz w:val="36"/>
          <w:szCs w:val="36"/>
          <w:lang w:eastAsia="zh-CN"/>
          <w14:textFill>
            <w14:solidFill>
              <w14:schemeClr w14:val="tx1"/>
            </w14:solidFill>
          </w14:textFill>
        </w:rPr>
      </w:pPr>
    </w:p>
    <w:p w14:paraId="56C388A2">
      <w:pPr>
        <w:pStyle w:val="4"/>
        <w:ind w:firstLine="562" w:firstLineChars="200"/>
        <w:jc w:val="center"/>
        <w:rPr>
          <w:rFonts w:hint="eastAsia" w:ascii="宋体" w:hAnsi="宋体" w:eastAsia="宋体" w:cs="宋体"/>
          <w:b/>
          <w:bCs/>
          <w:sz w:val="28"/>
          <w:szCs w:val="28"/>
          <w:lang w:eastAsia="zh-CN"/>
        </w:rPr>
        <w:sectPr>
          <w:footerReference r:id="rId3" w:type="default"/>
          <w:pgSz w:w="11906" w:h="16839"/>
          <w:pgMar w:top="1701" w:right="1417" w:bottom="1701" w:left="1417" w:header="0" w:footer="989" w:gutter="0"/>
          <w:pgNumType w:fmt="decimal"/>
          <w:cols w:space="720" w:num="1"/>
          <w:rtlGutter w:val="0"/>
        </w:sectPr>
      </w:pPr>
      <w:r>
        <w:rPr>
          <w:rFonts w:hint="eastAsia" w:ascii="宋体" w:hAnsi="宋体" w:eastAsia="宋体" w:cs="宋体"/>
          <w:b/>
          <w:bCs/>
          <w:sz w:val="28"/>
          <w:szCs w:val="28"/>
          <w:lang w:eastAsia="zh-CN"/>
        </w:rPr>
        <w:t>发布网址：www.hjhqzyjyzx.com</w:t>
      </w:r>
    </w:p>
    <w:p w14:paraId="1919246F">
      <w:pPr>
        <w:pageBreakBefore w:val="0"/>
        <w:overflowPunct/>
        <w:topLinePunct w:val="0"/>
        <w:bidi w:val="0"/>
        <w:spacing w:line="440" w:lineRule="exact"/>
        <w:jc w:val="both"/>
        <w:rPr>
          <w:rFonts w:hint="eastAsia" w:ascii="黑体" w:hAnsi="黑体" w:eastAsia="黑体" w:cs="黑体"/>
          <w:color w:val="000000" w:themeColor="text1"/>
          <w:sz w:val="36"/>
          <w:szCs w:val="36"/>
          <w:lang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3360" behindDoc="0" locked="0" layoutInCell="1" allowOverlap="1">
            <wp:simplePos x="0" y="0"/>
            <wp:positionH relativeFrom="column">
              <wp:posOffset>-1210945</wp:posOffset>
            </wp:positionH>
            <wp:positionV relativeFrom="paragraph">
              <wp:posOffset>-1082675</wp:posOffset>
            </wp:positionV>
            <wp:extent cx="7898130" cy="10424160"/>
            <wp:effectExtent l="0" t="0" r="7620" b="15240"/>
            <wp:wrapNone/>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11"/>
                    <a:stretch>
                      <a:fillRect/>
                    </a:stretch>
                  </pic:blipFill>
                  <pic:spPr>
                    <a:xfrm>
                      <a:off x="0" y="0"/>
                      <a:ext cx="7898130" cy="10424160"/>
                    </a:xfrm>
                    <a:prstGeom prst="rect">
                      <a:avLst/>
                    </a:prstGeom>
                    <a:noFill/>
                    <a:ln>
                      <a:noFill/>
                    </a:ln>
                  </pic:spPr>
                </pic:pic>
              </a:graphicData>
            </a:graphic>
          </wp:anchor>
        </w:drawing>
      </w:r>
      <w:r>
        <w:rPr>
          <w:rFonts w:hint="eastAsia" w:ascii="黑体" w:hAnsi="黑体" w:eastAsia="黑体" w:cs="黑体"/>
          <w:color w:val="000000" w:themeColor="text1"/>
          <w:sz w:val="36"/>
          <w:szCs w:val="36"/>
          <w:lang w:eastAsia="zh-CN"/>
          <w14:textFill>
            <w14:solidFill>
              <w14:schemeClr w14:val="tx1"/>
            </w14:solidFill>
          </w14:textFill>
        </w:rPr>
        <w:drawing>
          <wp:inline distT="0" distB="0" distL="114300" distR="114300">
            <wp:extent cx="5754370" cy="8159750"/>
            <wp:effectExtent l="0" t="0" r="17780" b="12700"/>
            <wp:docPr id="27" name="图片 27" descr="内容真实性责任声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内容真实性责任声明"/>
                    <pic:cNvPicPr>
                      <a:picLocks noChangeAspect="1"/>
                    </pic:cNvPicPr>
                  </pic:nvPicPr>
                  <pic:blipFill>
                    <a:blip r:embed="rId12"/>
                    <a:stretch>
                      <a:fillRect/>
                    </a:stretch>
                  </pic:blipFill>
                  <pic:spPr>
                    <a:xfrm>
                      <a:off x="0" y="0"/>
                      <a:ext cx="5754370" cy="8159750"/>
                    </a:xfrm>
                    <a:prstGeom prst="rect">
                      <a:avLst/>
                    </a:prstGeom>
                  </pic:spPr>
                </pic:pic>
              </a:graphicData>
            </a:graphic>
          </wp:inline>
        </w:drawing>
      </w:r>
      <w:r>
        <w:rPr>
          <w:rFonts w:hint="eastAsia" w:ascii="黑体" w:hAnsi="黑体" w:eastAsia="黑体" w:cs="黑体"/>
          <w:color w:val="000000" w:themeColor="text1"/>
          <w:sz w:val="36"/>
          <w:szCs w:val="36"/>
          <w:lang w:eastAsia="zh-CN"/>
          <w14:textFill>
            <w14:solidFill>
              <w14:schemeClr w14:val="tx1"/>
            </w14:solidFill>
          </w14:textFill>
        </w:rPr>
        <w:drawing>
          <wp:anchor distT="0" distB="0" distL="114300" distR="114300" simplePos="0" relativeHeight="251662336" behindDoc="0" locked="0" layoutInCell="1" allowOverlap="1">
            <wp:simplePos x="0" y="0"/>
            <wp:positionH relativeFrom="column">
              <wp:posOffset>0</wp:posOffset>
            </wp:positionH>
            <wp:positionV relativeFrom="paragraph">
              <wp:posOffset>-7669530</wp:posOffset>
            </wp:positionV>
            <wp:extent cx="5754370" cy="8159750"/>
            <wp:effectExtent l="0" t="0" r="17780" b="12700"/>
            <wp:wrapNone/>
            <wp:docPr id="28" name="图片 28" descr="内容真实性责任声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内容真实性责任声明"/>
                    <pic:cNvPicPr>
                      <a:picLocks noChangeAspect="1"/>
                    </pic:cNvPicPr>
                  </pic:nvPicPr>
                  <pic:blipFill>
                    <a:blip r:embed="rId12"/>
                    <a:stretch>
                      <a:fillRect/>
                    </a:stretch>
                  </pic:blipFill>
                  <pic:spPr>
                    <a:xfrm>
                      <a:off x="0" y="0"/>
                      <a:ext cx="5754370" cy="8159750"/>
                    </a:xfrm>
                    <a:prstGeom prst="rect">
                      <a:avLst/>
                    </a:prstGeom>
                  </pic:spPr>
                </pic:pic>
              </a:graphicData>
            </a:graphic>
          </wp:anchor>
        </w:drawing>
      </w:r>
    </w:p>
    <w:p w14:paraId="1D700CF1">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0C635A34">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4CBFB17A">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11F40D9A">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09CE40F7">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1348BC7A">
      <w:pPr>
        <w:pageBreakBefore w:val="0"/>
        <w:overflowPunct/>
        <w:topLinePunct w:val="0"/>
        <w:bidi w:val="0"/>
        <w:spacing w:line="440" w:lineRule="exact"/>
        <w:jc w:val="center"/>
        <w:rPr>
          <w:rFonts w:hint="eastAsia" w:ascii="黑体" w:hAnsi="黑体" w:eastAsia="黑体" w:cs="黑体"/>
          <w:color w:val="000000" w:themeColor="text1"/>
          <w:sz w:val="36"/>
          <w:szCs w:val="36"/>
          <w:lang w:eastAsia="zh-CN"/>
          <w14:textFill>
            <w14:solidFill>
              <w14:schemeClr w14:val="tx1"/>
            </w14:solidFill>
          </w14:textFill>
        </w:rPr>
      </w:pPr>
      <w:r>
        <w:rPr>
          <w:rFonts w:hint="eastAsia" w:ascii="黑体" w:hAnsi="黑体" w:eastAsia="黑体" w:cs="黑体"/>
          <w:color w:val="000000" w:themeColor="text1"/>
          <w:sz w:val="36"/>
          <w:szCs w:val="36"/>
          <w:lang w:eastAsia="zh-CN"/>
          <w14:textFill>
            <w14:solidFill>
              <w14:schemeClr w14:val="tx1"/>
            </w14:solidFill>
          </w14:textFill>
        </w:rPr>
        <w:drawing>
          <wp:inline distT="0" distB="0" distL="114300" distR="114300">
            <wp:extent cx="5754370" cy="8159750"/>
            <wp:effectExtent l="0" t="0" r="17780" b="12700"/>
            <wp:docPr id="35" name="图片 35" descr="内容真实性责任声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内容真实性责任声明"/>
                    <pic:cNvPicPr>
                      <a:picLocks noChangeAspect="1"/>
                    </pic:cNvPicPr>
                  </pic:nvPicPr>
                  <pic:blipFill>
                    <a:blip r:embed="rId12"/>
                    <a:stretch>
                      <a:fillRect/>
                    </a:stretch>
                  </pic:blipFill>
                  <pic:spPr>
                    <a:xfrm>
                      <a:off x="0" y="0"/>
                      <a:ext cx="5754370" cy="8159750"/>
                    </a:xfrm>
                    <a:prstGeom prst="rect">
                      <a:avLst/>
                    </a:prstGeom>
                  </pic:spPr>
                </pic:pic>
              </a:graphicData>
            </a:graphic>
          </wp:inline>
        </w:drawing>
      </w:r>
    </w:p>
    <w:p w14:paraId="5F7DBAC3">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73BF7501">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18C50781">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5FD55443">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73C8201C">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2B898ED3">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4CBF44A8">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36172D49">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2D72D4F6">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6AE2E4AB">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4C99020D">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67587CD4">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27E2CD00">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7AD82849">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25B1765F">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461AC82C">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6BEEFB9E">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763E337E">
      <w:pPr>
        <w:pageBreakBefore w:val="0"/>
        <w:overflowPunct/>
        <w:topLinePunct w:val="0"/>
        <w:bidi w:val="0"/>
        <w:spacing w:line="440" w:lineRule="exact"/>
        <w:jc w:val="center"/>
        <w:rPr>
          <w:rFonts w:hint="eastAsia" w:ascii="黑体" w:hAnsi="黑体" w:eastAsia="黑体" w:cs="黑体"/>
          <w:color w:val="000000" w:themeColor="text1"/>
          <w:sz w:val="36"/>
          <w:szCs w:val="36"/>
          <w14:textFill>
            <w14:solidFill>
              <w14:schemeClr w14:val="tx1"/>
            </w14:solidFill>
          </w14:textFill>
        </w:rPr>
      </w:pPr>
    </w:p>
    <w:p w14:paraId="3E3C70D1">
      <w:pPr>
        <w:keepNext w:val="0"/>
        <w:keepLines w:val="0"/>
        <w:pageBreakBefore w:val="0"/>
        <w:widowControl w:val="0"/>
        <w:kinsoku/>
        <w:wordWrap/>
        <w:overflowPunct/>
        <w:topLinePunct w:val="0"/>
        <w:autoSpaceDE/>
        <w:autoSpaceDN/>
        <w:bidi w:val="0"/>
        <w:adjustRightInd/>
        <w:snapToGrid/>
        <w:spacing w:after="0" w:afterLines="50" w:line="560" w:lineRule="exact"/>
        <w:jc w:val="center"/>
        <w:textAlignment w:val="auto"/>
        <w:rPr>
          <w:rFonts w:hint="eastAsia" w:ascii="宋体" w:hAnsi="宋体" w:eastAsia="宋体" w:cs="宋体"/>
          <w:b/>
          <w:bCs/>
          <w:color w:val="000000" w:themeColor="text1"/>
          <w:sz w:val="44"/>
          <w:szCs w:val="44"/>
          <w:lang w:val="en-US" w:eastAsia="zh-CN"/>
          <w14:textFill>
            <w14:solidFill>
              <w14:schemeClr w14:val="tx1"/>
            </w14:solidFill>
          </w14:textFill>
        </w:rPr>
      </w:pPr>
    </w:p>
    <w:p w14:paraId="36639256">
      <w:pPr>
        <w:keepNext w:val="0"/>
        <w:keepLines w:val="0"/>
        <w:pageBreakBefore w:val="0"/>
        <w:widowControl w:val="0"/>
        <w:kinsoku/>
        <w:wordWrap/>
        <w:overflowPunct/>
        <w:topLinePunct w:val="0"/>
        <w:autoSpaceDE/>
        <w:autoSpaceDN/>
        <w:bidi w:val="0"/>
        <w:adjustRightInd/>
        <w:snapToGrid/>
        <w:spacing w:after="0" w:afterLines="50" w:line="560" w:lineRule="exact"/>
        <w:jc w:val="center"/>
        <w:textAlignment w:val="auto"/>
        <w:rPr>
          <w:rFonts w:hint="eastAsia" w:ascii="宋体" w:hAnsi="宋体" w:eastAsia="宋体" w:cs="宋体"/>
          <w:b/>
          <w:bCs/>
          <w:color w:val="000000" w:themeColor="text1"/>
          <w:sz w:val="44"/>
          <w:szCs w:val="44"/>
          <w:lang w:val="en-US" w:eastAsia="zh-CN"/>
          <w14:textFill>
            <w14:solidFill>
              <w14:schemeClr w14:val="tx1"/>
            </w14:solidFill>
          </w14:textFill>
        </w:rPr>
      </w:pPr>
    </w:p>
    <w:p w14:paraId="17137980">
      <w:pPr>
        <w:keepNext w:val="0"/>
        <w:keepLines w:val="0"/>
        <w:pageBreakBefore w:val="0"/>
        <w:widowControl w:val="0"/>
        <w:kinsoku/>
        <w:wordWrap/>
        <w:overflowPunct/>
        <w:topLinePunct w:val="0"/>
        <w:autoSpaceDE/>
        <w:autoSpaceDN/>
        <w:bidi w:val="0"/>
        <w:adjustRightInd/>
        <w:snapToGrid/>
        <w:spacing w:after="0" w:afterLines="50" w:line="560" w:lineRule="exact"/>
        <w:jc w:val="center"/>
        <w:textAlignment w:val="auto"/>
        <w:rPr>
          <w:rFonts w:hint="eastAsia" w:ascii="宋体" w:hAnsi="宋体" w:eastAsia="宋体" w:cs="宋体"/>
          <w:b/>
          <w:bCs/>
          <w:color w:val="000000" w:themeColor="text1"/>
          <w:sz w:val="44"/>
          <w:szCs w:val="44"/>
          <w:lang w:val="en-US" w:eastAsia="zh-CN"/>
          <w14:textFill>
            <w14:solidFill>
              <w14:schemeClr w14:val="tx1"/>
            </w14:solidFill>
          </w14:textFill>
        </w:rPr>
      </w:pPr>
    </w:p>
    <w:p w14:paraId="6DC504EA">
      <w:pPr>
        <w:pageBreakBefore w:val="0"/>
        <w:overflowPunct/>
        <w:topLinePunct w:val="0"/>
        <w:bidi w:val="0"/>
        <w:spacing w:line="440" w:lineRule="exact"/>
        <w:jc w:val="center"/>
        <w:rPr>
          <w:rFonts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14:textFill>
            <w14:solidFill>
              <w14:schemeClr w14:val="tx1"/>
            </w14:solidFill>
          </w14:textFill>
        </w:rPr>
        <w:t>目 录</w:t>
      </w:r>
    </w:p>
    <w:p w14:paraId="07F0EE1F">
      <w:pPr>
        <w:keepNext w:val="0"/>
        <w:keepLines w:val="0"/>
        <w:pageBreakBefore w:val="0"/>
        <w:widowControl w:val="0"/>
        <w:tabs>
          <w:tab w:val="left" w:pos="312"/>
        </w:tabs>
        <w:kinsoku/>
        <w:wordWrap/>
        <w:overflowPunct/>
        <w:topLinePunct w:val="0"/>
        <w:autoSpaceDE/>
        <w:autoSpaceDN/>
        <w:bidi w:val="0"/>
        <w:adjustRightInd/>
        <w:snapToGrid/>
        <w:spacing w:line="440" w:lineRule="exact"/>
        <w:jc w:val="both"/>
        <w:textAlignment w:val="auto"/>
        <w:rPr>
          <w:rFonts w:hint="eastAsia" w:ascii="黑体" w:hAnsi="黑体" w:eastAsia="黑体" w:cs="黑体"/>
          <w:color w:val="auto"/>
          <w:sz w:val="28"/>
          <w:szCs w:val="28"/>
        </w:rPr>
      </w:pPr>
      <w:r>
        <w:rPr>
          <w:rFonts w:hint="eastAsia" w:ascii="黑体" w:hAnsi="黑体" w:eastAsia="黑体" w:cs="黑体"/>
          <w:color w:val="auto"/>
          <w:sz w:val="24"/>
          <w:szCs w:val="24"/>
        </w:rPr>
        <w:t>1.</w:t>
      </w:r>
      <w:r>
        <w:rPr>
          <w:rFonts w:hint="eastAsia" w:ascii="黑体" w:hAnsi="黑体" w:eastAsia="黑体" w:cs="黑体"/>
          <w:color w:val="auto"/>
          <w:sz w:val="24"/>
          <w:szCs w:val="24"/>
          <w:lang w:val="en-US" w:eastAsia="zh-CN"/>
        </w:rPr>
        <w:t>人才培养</w:t>
      </w:r>
    </w:p>
    <w:p w14:paraId="74F0A981">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rPr>
        <w:t>1.1</w:t>
      </w:r>
      <w:r>
        <w:rPr>
          <w:rFonts w:hint="eastAsia" w:ascii="宋体" w:hAnsi="宋体" w:eastAsia="宋体" w:cs="宋体"/>
          <w:color w:val="auto"/>
          <w:sz w:val="21"/>
          <w:szCs w:val="21"/>
          <w:lang w:val="en-US" w:eastAsia="zh-CN"/>
        </w:rPr>
        <w:t>立德树人</w:t>
      </w:r>
      <w:r>
        <w:rPr>
          <w:rFonts w:hint="eastAsia" w:ascii="宋体" w:hAnsi="宋体" w:eastAsia="宋体" w:cs="宋体"/>
          <w:color w:val="auto"/>
          <w:sz w:val="21"/>
          <w:szCs w:val="21"/>
        </w:rPr>
        <w:t>.</w:t>
      </w:r>
      <w:r>
        <w:rPr>
          <w:rFonts w:hint="eastAsia" w:ascii="黑体" w:hAnsi="黑体" w:eastAsia="黑体" w:cs="黑体"/>
          <w:color w:val="auto"/>
          <w:sz w:val="24"/>
          <w:szCs w:val="24"/>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1</w:t>
      </w:r>
    </w:p>
    <w:p w14:paraId="5BAAC6BD">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ascii="宋体" w:hAnsi="宋体" w:eastAsia="宋体" w:cs="宋体"/>
          <w:color w:val="auto"/>
          <w:sz w:val="21"/>
          <w:szCs w:val="21"/>
        </w:rPr>
      </w:pPr>
      <w:r>
        <w:rPr>
          <w:rFonts w:hint="eastAsia" w:ascii="宋体" w:hAnsi="宋体" w:eastAsia="宋体" w:cs="宋体"/>
          <w:color w:val="auto"/>
          <w:sz w:val="21"/>
          <w:szCs w:val="21"/>
        </w:rPr>
        <w:t>1.2“双优”建设.............................</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2</w:t>
      </w:r>
      <w:r>
        <w:rPr>
          <w:rFonts w:ascii="宋体" w:hAnsi="宋体" w:eastAsia="宋体" w:cs="宋体"/>
          <w:color w:val="auto"/>
          <w:sz w:val="21"/>
          <w:szCs w:val="21"/>
        </w:rPr>
        <w:t xml:space="preserve">   </w:t>
      </w:r>
    </w:p>
    <w:p w14:paraId="5C4A7CE6">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ascii="宋体" w:hAnsi="宋体" w:eastAsia="宋体" w:cs="宋体"/>
          <w:color w:val="auto"/>
          <w:sz w:val="21"/>
          <w:szCs w:val="21"/>
        </w:rPr>
        <w:t>1.</w:t>
      </w:r>
      <w:r>
        <w:rPr>
          <w:rFonts w:hint="eastAsia" w:ascii="宋体" w:hAnsi="宋体" w:eastAsia="宋体" w:cs="宋体"/>
          <w:color w:val="auto"/>
          <w:sz w:val="21"/>
          <w:szCs w:val="21"/>
        </w:rPr>
        <w:t>3</w:t>
      </w:r>
      <w:r>
        <w:rPr>
          <w:rFonts w:hint="eastAsia" w:ascii="宋体" w:hAnsi="宋体" w:eastAsia="宋体" w:cs="宋体"/>
          <w:color w:val="auto"/>
          <w:sz w:val="21"/>
          <w:szCs w:val="21"/>
          <w:lang w:val="en-US" w:eastAsia="zh-CN"/>
        </w:rPr>
        <w:t>专业建设</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2</w:t>
      </w:r>
    </w:p>
    <w:p w14:paraId="258FEC9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eastAsia="zh-CN"/>
        </w:rPr>
      </w:pPr>
      <w:r>
        <w:rPr>
          <w:rFonts w:hint="eastAsia" w:ascii="宋体" w:hAnsi="宋体" w:eastAsia="宋体" w:cs="宋体"/>
          <w:color w:val="auto"/>
          <w:sz w:val="21"/>
          <w:szCs w:val="21"/>
        </w:rPr>
        <w:t>1.4</w:t>
      </w:r>
      <w:r>
        <w:rPr>
          <w:rFonts w:hint="eastAsia" w:ascii="宋体" w:hAnsi="宋体" w:eastAsia="宋体" w:cs="宋体"/>
          <w:color w:val="auto"/>
          <w:sz w:val="21"/>
          <w:szCs w:val="21"/>
          <w:lang w:val="en-US" w:eastAsia="zh-CN"/>
        </w:rPr>
        <w:t>课程建设</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..2</w:t>
      </w:r>
    </w:p>
    <w:p w14:paraId="7AA0D47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黑体"/>
          <w:color w:val="auto"/>
          <w:sz w:val="21"/>
          <w:szCs w:val="21"/>
          <w:lang w:val="en-US" w:eastAsia="zh-CN"/>
        </w:rPr>
      </w:pPr>
      <w:r>
        <w:rPr>
          <w:rFonts w:ascii="宋体" w:hAnsi="宋体" w:eastAsia="宋体" w:cs="宋体"/>
          <w:color w:val="auto"/>
          <w:sz w:val="21"/>
          <w:szCs w:val="21"/>
        </w:rPr>
        <w:t>1.</w:t>
      </w:r>
      <w:r>
        <w:rPr>
          <w:rFonts w:hint="eastAsia" w:ascii="宋体" w:hAnsi="宋体" w:eastAsia="宋体" w:cs="宋体"/>
          <w:color w:val="auto"/>
          <w:sz w:val="21"/>
          <w:szCs w:val="21"/>
        </w:rPr>
        <w:t>5</w:t>
      </w:r>
      <w:r>
        <w:rPr>
          <w:rFonts w:hint="eastAsia" w:ascii="宋体" w:hAnsi="宋体" w:eastAsia="宋体" w:cs="宋体"/>
          <w:color w:val="auto"/>
          <w:sz w:val="21"/>
          <w:szCs w:val="21"/>
          <w:lang w:val="en-US" w:eastAsia="zh-CN"/>
        </w:rPr>
        <w:t>教材建设</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黑体"/>
          <w:color w:val="auto"/>
          <w:sz w:val="21"/>
          <w:szCs w:val="21"/>
          <w:lang w:val="en-US" w:eastAsia="zh-CN"/>
        </w:rPr>
        <w:t>2</w:t>
      </w:r>
    </w:p>
    <w:p w14:paraId="3AA7596F">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hint="eastAsia" w:ascii="宋体" w:hAnsi="宋体" w:eastAsia="宋体" w:cs="黑体"/>
          <w:color w:val="auto"/>
          <w:sz w:val="21"/>
          <w:szCs w:val="21"/>
          <w:lang w:val="en-US" w:eastAsia="zh-CN"/>
        </w:rPr>
        <w:t>1.6教学改革</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3</w:t>
      </w:r>
    </w:p>
    <w:p w14:paraId="14DA4B0E">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7信息化建设</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3</w:t>
      </w:r>
    </w:p>
    <w:p w14:paraId="51446F8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ascii="宋体" w:hAnsi="宋体" w:eastAsia="宋体" w:cs="宋体"/>
          <w:color w:val="auto"/>
          <w:sz w:val="21"/>
          <w:szCs w:val="21"/>
        </w:rPr>
        <w:t>1.</w:t>
      </w:r>
      <w:r>
        <w:rPr>
          <w:rFonts w:hint="eastAsia" w:ascii="宋体" w:hAnsi="宋体" w:eastAsia="宋体" w:cs="宋体"/>
          <w:color w:val="auto"/>
          <w:sz w:val="21"/>
          <w:szCs w:val="21"/>
          <w:lang w:val="en-US" w:eastAsia="zh-CN"/>
        </w:rPr>
        <w:t>8贯通培养</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4</w:t>
      </w:r>
    </w:p>
    <w:p w14:paraId="2658D3E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9职普融通、科教融汇</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..............4</w:t>
      </w:r>
    </w:p>
    <w:p w14:paraId="583A1E56">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val="en-US" w:eastAsia="zh-CN"/>
        </w:rPr>
        <w:t>1.10培养规模</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..5</w:t>
      </w:r>
    </w:p>
    <w:p w14:paraId="3EB70BA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hint="eastAsia" w:ascii="宋体" w:hAnsi="宋体" w:eastAsia="宋体" w:cs="黑体"/>
          <w:color w:val="auto"/>
          <w:sz w:val="21"/>
          <w:szCs w:val="21"/>
        </w:rPr>
        <w:t>1.</w:t>
      </w:r>
      <w:r>
        <w:rPr>
          <w:rFonts w:hint="eastAsia" w:ascii="宋体" w:hAnsi="宋体" w:eastAsia="宋体" w:cs="黑体"/>
          <w:color w:val="auto"/>
          <w:sz w:val="21"/>
          <w:szCs w:val="21"/>
          <w:lang w:val="en-US" w:eastAsia="zh-CN"/>
        </w:rPr>
        <w:t>11技能大赛</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6</w:t>
      </w:r>
    </w:p>
    <w:p w14:paraId="06FBB51B">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12创新创业</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6</w:t>
      </w:r>
    </w:p>
    <w:p w14:paraId="1A4DBA52">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ascii="宋体" w:hAnsi="宋体" w:eastAsia="宋体" w:cs="宋体"/>
          <w:color w:val="auto"/>
          <w:sz w:val="21"/>
          <w:szCs w:val="21"/>
        </w:rPr>
        <w:t>1.</w:t>
      </w:r>
      <w:r>
        <w:rPr>
          <w:rFonts w:hint="eastAsia" w:ascii="宋体" w:hAnsi="宋体" w:eastAsia="宋体" w:cs="宋体"/>
          <w:color w:val="auto"/>
          <w:sz w:val="21"/>
          <w:szCs w:val="21"/>
          <w:lang w:val="en-US" w:eastAsia="zh-CN"/>
        </w:rPr>
        <w:t>13培养质量</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7</w:t>
      </w:r>
    </w:p>
    <w:p w14:paraId="44D3D952">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1.</w:t>
      </w:r>
      <w:r>
        <w:rPr>
          <w:rFonts w:hint="eastAsia" w:ascii="宋体" w:hAnsi="宋体" w:eastAsia="宋体" w:cs="宋体"/>
          <w:color w:val="auto"/>
          <w:sz w:val="21"/>
          <w:szCs w:val="21"/>
          <w:lang w:val="en-US" w:eastAsia="zh-CN"/>
        </w:rPr>
        <w:t>14其他人才培养方面特色工作</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..7</w:t>
      </w:r>
    </w:p>
    <w:p w14:paraId="15C1F4A1">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黑体" w:hAnsi="黑体" w:eastAsia="黑体" w:cs="黑体"/>
          <w:color w:val="auto"/>
          <w:sz w:val="24"/>
          <w:szCs w:val="24"/>
        </w:rPr>
      </w:pPr>
      <w:r>
        <w:rPr>
          <w:rFonts w:hint="eastAsia" w:ascii="黑体" w:hAnsi="黑体" w:eastAsia="黑体" w:cs="黑体"/>
          <w:color w:val="auto"/>
          <w:sz w:val="24"/>
          <w:szCs w:val="24"/>
        </w:rPr>
        <w:t>2.</w:t>
      </w:r>
      <w:r>
        <w:rPr>
          <w:rFonts w:hint="eastAsia" w:ascii="黑体" w:hAnsi="黑体" w:eastAsia="黑体" w:cs="黑体"/>
          <w:color w:val="auto"/>
          <w:sz w:val="24"/>
          <w:szCs w:val="24"/>
          <w:lang w:val="en-US" w:eastAsia="zh-CN"/>
        </w:rPr>
        <w:t>服务贡献</w:t>
      </w:r>
    </w:p>
    <w:p w14:paraId="03D3ADC6">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2.1</w:t>
      </w:r>
      <w:r>
        <w:rPr>
          <w:rFonts w:hint="eastAsia" w:ascii="宋体" w:hAnsi="宋体" w:eastAsia="宋体" w:cs="宋体"/>
          <w:color w:val="auto"/>
          <w:sz w:val="21"/>
          <w:szCs w:val="21"/>
          <w:lang w:val="en-US" w:eastAsia="zh-CN"/>
        </w:rPr>
        <w:t>服务自治区重大项目</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13</w:t>
      </w:r>
    </w:p>
    <w:p w14:paraId="788C82A0">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2.2</w:t>
      </w:r>
      <w:r>
        <w:rPr>
          <w:rFonts w:hint="eastAsia" w:ascii="宋体" w:hAnsi="宋体" w:eastAsia="宋体" w:cs="宋体"/>
          <w:color w:val="auto"/>
          <w:sz w:val="21"/>
          <w:szCs w:val="21"/>
          <w:lang w:val="en-US" w:eastAsia="zh-CN"/>
        </w:rPr>
        <w:t>服务行业企业</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13</w:t>
      </w:r>
    </w:p>
    <w:p w14:paraId="28C1C302">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2.3</w:t>
      </w:r>
      <w:r>
        <w:rPr>
          <w:rFonts w:hint="eastAsia" w:ascii="宋体" w:hAnsi="宋体" w:eastAsia="宋体" w:cs="宋体"/>
          <w:color w:val="auto"/>
          <w:sz w:val="21"/>
          <w:szCs w:val="21"/>
          <w:lang w:val="en-US" w:eastAsia="zh-CN"/>
        </w:rPr>
        <w:t>服务乡村振兴</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14</w:t>
      </w:r>
    </w:p>
    <w:p w14:paraId="538F0B1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2.4</w:t>
      </w:r>
      <w:r>
        <w:rPr>
          <w:rFonts w:hint="eastAsia" w:ascii="宋体" w:hAnsi="宋体" w:eastAsia="宋体" w:cs="宋体"/>
          <w:color w:val="auto"/>
          <w:sz w:val="21"/>
          <w:szCs w:val="21"/>
          <w:lang w:val="en-US" w:eastAsia="zh-CN"/>
        </w:rPr>
        <w:t>服务社区教育</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..15</w:t>
      </w:r>
    </w:p>
    <w:p w14:paraId="218FF032">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ascii="宋体" w:hAnsi="宋体" w:eastAsia="宋体" w:cs="宋体"/>
          <w:color w:val="auto"/>
          <w:sz w:val="21"/>
          <w:szCs w:val="21"/>
        </w:rPr>
      </w:pPr>
      <w:r>
        <w:rPr>
          <w:rFonts w:hint="eastAsia" w:ascii="宋体" w:hAnsi="宋体" w:eastAsia="宋体" w:cs="宋体"/>
          <w:color w:val="auto"/>
          <w:sz w:val="21"/>
          <w:szCs w:val="21"/>
        </w:rPr>
        <w:t>2.5</w:t>
      </w:r>
      <w:r>
        <w:rPr>
          <w:rFonts w:hint="eastAsia" w:ascii="宋体" w:hAnsi="宋体" w:eastAsia="宋体" w:cs="宋体"/>
          <w:color w:val="auto"/>
          <w:sz w:val="21"/>
          <w:szCs w:val="21"/>
          <w:lang w:val="en-US" w:eastAsia="zh-CN"/>
        </w:rPr>
        <w:t>服务区域合作</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15</w:t>
      </w:r>
      <w:r>
        <w:rPr>
          <w:rFonts w:ascii="宋体" w:hAnsi="宋体" w:eastAsia="宋体" w:cs="宋体"/>
          <w:color w:val="auto"/>
          <w:sz w:val="21"/>
          <w:szCs w:val="21"/>
        </w:rPr>
        <w:t xml:space="preserve">  </w:t>
      </w:r>
    </w:p>
    <w:p w14:paraId="108233BA">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color w:val="auto"/>
          <w:sz w:val="21"/>
          <w:szCs w:val="21"/>
          <w:lang w:val="en-US"/>
        </w:rPr>
      </w:pPr>
      <w:r>
        <w:rPr>
          <w:rFonts w:hint="eastAsia" w:ascii="宋体" w:hAnsi="宋体" w:eastAsia="宋体" w:cs="宋体"/>
          <w:color w:val="auto"/>
          <w:sz w:val="21"/>
          <w:szCs w:val="21"/>
        </w:rPr>
        <w:t>2.</w:t>
      </w:r>
      <w:r>
        <w:rPr>
          <w:rFonts w:hint="eastAsia" w:ascii="宋体" w:hAnsi="宋体" w:eastAsia="宋体" w:cs="宋体"/>
          <w:color w:val="auto"/>
          <w:sz w:val="21"/>
          <w:szCs w:val="21"/>
          <w:lang w:val="en-US" w:eastAsia="zh-CN"/>
        </w:rPr>
        <w:t>6职业培训其他服务贡献方面特色工作</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ascii="宋体" w:hAnsi="宋体" w:eastAsia="宋体" w:cs="宋体"/>
          <w:color w:val="auto"/>
          <w:sz w:val="21"/>
          <w:szCs w:val="21"/>
        </w:rPr>
        <w:t>.</w:t>
      </w:r>
      <w:r>
        <w:rPr>
          <w:rFonts w:hint="eastAsia" w:ascii="宋体" w:hAnsi="宋体" w:eastAsia="宋体" w:cs="宋体"/>
          <w:color w:val="auto"/>
          <w:sz w:val="21"/>
          <w:szCs w:val="21"/>
          <w:lang w:val="en-US" w:eastAsia="zh-CN"/>
        </w:rPr>
        <w:t>.16</w:t>
      </w:r>
    </w:p>
    <w:p w14:paraId="3683F743">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ascii="黑体" w:hAnsi="黑体" w:eastAsia="黑体" w:cs="黑体"/>
          <w:color w:val="FF0000"/>
          <w:sz w:val="24"/>
          <w:szCs w:val="24"/>
        </w:rPr>
      </w:pPr>
      <w:r>
        <w:rPr>
          <w:rFonts w:hint="eastAsia" w:ascii="黑体" w:hAnsi="黑体" w:eastAsia="黑体" w:cs="黑体"/>
          <w:color w:val="auto"/>
          <w:sz w:val="24"/>
          <w:szCs w:val="24"/>
        </w:rPr>
        <w:t>3.</w:t>
      </w:r>
      <w:r>
        <w:rPr>
          <w:rFonts w:hint="eastAsia" w:ascii="黑体" w:hAnsi="黑体" w:eastAsia="黑体" w:cs="黑体"/>
          <w:color w:val="auto"/>
          <w:sz w:val="24"/>
          <w:szCs w:val="24"/>
          <w:lang w:val="en-US" w:eastAsia="zh-CN"/>
        </w:rPr>
        <w:t>文化传承</w:t>
      </w:r>
    </w:p>
    <w:p w14:paraId="5EBCA224">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黑体"/>
          <w:color w:val="auto"/>
          <w:sz w:val="21"/>
          <w:szCs w:val="21"/>
          <w:lang w:val="en-US" w:eastAsia="zh-CN"/>
        </w:rPr>
      </w:pPr>
      <w:r>
        <w:rPr>
          <w:rFonts w:hint="eastAsia" w:ascii="宋体" w:hAnsi="宋体" w:eastAsia="宋体" w:cs="黑体"/>
          <w:color w:val="auto"/>
          <w:sz w:val="21"/>
          <w:szCs w:val="21"/>
        </w:rPr>
        <w:t>3.1</w:t>
      </w:r>
      <w:r>
        <w:rPr>
          <w:rFonts w:hint="eastAsia" w:ascii="宋体" w:hAnsi="宋体" w:eastAsia="宋体" w:cs="黑体"/>
          <w:color w:val="auto"/>
          <w:sz w:val="21"/>
          <w:szCs w:val="21"/>
          <w:lang w:val="en-US" w:eastAsia="zh-CN"/>
        </w:rPr>
        <w:t>传承传统文化</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黑体"/>
          <w:color w:val="auto"/>
          <w:sz w:val="21"/>
          <w:szCs w:val="21"/>
          <w:lang w:val="en-US" w:eastAsia="zh-CN"/>
        </w:rPr>
        <w:t>..18</w:t>
      </w:r>
    </w:p>
    <w:p w14:paraId="7C59CA53">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color w:val="auto"/>
          <w:sz w:val="21"/>
          <w:szCs w:val="21"/>
          <w:lang w:val="en-US" w:eastAsia="zh-CN"/>
        </w:rPr>
      </w:pPr>
      <w:r>
        <w:rPr>
          <w:rFonts w:hint="eastAsia" w:ascii="宋体" w:hAnsi="宋体" w:eastAsia="宋体" w:cs="黑体"/>
          <w:color w:val="auto"/>
          <w:sz w:val="21"/>
          <w:szCs w:val="21"/>
        </w:rPr>
        <w:t>3.2</w:t>
      </w:r>
      <w:r>
        <w:rPr>
          <w:rFonts w:hint="eastAsia" w:ascii="宋体" w:hAnsi="宋体" w:eastAsia="宋体" w:cs="黑体"/>
          <w:color w:val="auto"/>
          <w:sz w:val="21"/>
          <w:szCs w:val="21"/>
          <w:lang w:val="en-US" w:eastAsia="zh-CN"/>
        </w:rPr>
        <w:t>传承红色文化</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18</w:t>
      </w:r>
    </w:p>
    <w:p w14:paraId="7F18DDD8">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黑体" w:cs="宋体"/>
          <w:color w:val="auto"/>
          <w:sz w:val="21"/>
          <w:szCs w:val="21"/>
          <w:lang w:val="en-US" w:eastAsia="zh-CN"/>
        </w:rPr>
      </w:pPr>
      <w:r>
        <w:rPr>
          <w:rFonts w:hint="eastAsia" w:ascii="宋体" w:hAnsi="宋体" w:eastAsia="宋体" w:cs="黑体"/>
          <w:color w:val="auto"/>
          <w:sz w:val="21"/>
          <w:szCs w:val="21"/>
        </w:rPr>
        <w:t>3.3</w:t>
      </w:r>
      <w:r>
        <w:rPr>
          <w:rFonts w:hint="eastAsia" w:ascii="宋体" w:hAnsi="宋体" w:eastAsia="宋体" w:cs="黑体"/>
          <w:color w:val="auto"/>
          <w:sz w:val="21"/>
          <w:szCs w:val="21"/>
          <w:lang w:val="en-US" w:eastAsia="zh-CN"/>
        </w:rPr>
        <w:t>传承地方文化</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18</w:t>
      </w:r>
    </w:p>
    <w:p w14:paraId="43BA434D">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黑体" w:cs="黑体"/>
          <w:color w:val="auto"/>
          <w:sz w:val="21"/>
          <w:szCs w:val="21"/>
          <w:lang w:val="en-US" w:eastAsia="zh-CN"/>
        </w:rPr>
      </w:pPr>
      <w:r>
        <w:rPr>
          <w:rFonts w:hint="eastAsia" w:ascii="宋体" w:hAnsi="宋体" w:eastAsia="宋体" w:cs="黑体"/>
          <w:color w:val="auto"/>
          <w:sz w:val="21"/>
          <w:szCs w:val="21"/>
        </w:rPr>
        <w:t>3.4</w:t>
      </w:r>
      <w:r>
        <w:rPr>
          <w:rFonts w:hint="eastAsia" w:ascii="宋体" w:hAnsi="宋体" w:eastAsia="宋体" w:cs="黑体"/>
          <w:color w:val="auto"/>
          <w:sz w:val="21"/>
          <w:szCs w:val="21"/>
          <w:lang w:val="en-US" w:eastAsia="zh-CN"/>
        </w:rPr>
        <w:t>开展“读书行动”</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黑体" w:hAnsi="黑体" w:eastAsia="黑体" w:cs="黑体"/>
          <w:color w:val="auto"/>
          <w:sz w:val="21"/>
          <w:szCs w:val="21"/>
        </w:rPr>
        <w:t>.</w:t>
      </w:r>
      <w:r>
        <w:rPr>
          <w:rFonts w:hint="eastAsia" w:ascii="宋体" w:hAnsi="宋体" w:eastAsia="宋体" w:cs="宋体"/>
          <w:color w:val="auto"/>
          <w:sz w:val="21"/>
          <w:szCs w:val="21"/>
        </w:rPr>
        <w:t>...........</w:t>
      </w:r>
      <w:r>
        <w:rPr>
          <w:rFonts w:hint="eastAsia" w:ascii="宋体" w:hAnsi="宋体" w:eastAsia="宋体" w:cs="黑体"/>
          <w:color w:val="auto"/>
          <w:sz w:val="21"/>
          <w:szCs w:val="21"/>
          <w:lang w:val="en-US" w:eastAsia="zh-CN"/>
        </w:rPr>
        <w:t>19</w:t>
      </w:r>
    </w:p>
    <w:p w14:paraId="0610BCFC">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default" w:ascii="黑体" w:hAnsi="黑体" w:eastAsia="黑体" w:cs="黑体"/>
          <w:color w:val="auto"/>
          <w:sz w:val="21"/>
          <w:szCs w:val="21"/>
          <w:lang w:val="en-US" w:eastAsia="zh-CN"/>
        </w:rPr>
      </w:pPr>
      <w:r>
        <w:rPr>
          <w:rFonts w:hint="eastAsia" w:ascii="宋体" w:hAnsi="宋体" w:eastAsia="宋体" w:cs="黑体"/>
          <w:color w:val="auto"/>
          <w:sz w:val="21"/>
          <w:szCs w:val="21"/>
        </w:rPr>
        <w:t>3.5</w:t>
      </w:r>
      <w:r>
        <w:rPr>
          <w:rFonts w:hint="eastAsia" w:ascii="宋体" w:hAnsi="宋体" w:eastAsia="宋体" w:cs="黑体"/>
          <w:color w:val="auto"/>
          <w:sz w:val="21"/>
          <w:szCs w:val="21"/>
          <w:lang w:val="en-US" w:eastAsia="zh-CN"/>
        </w:rPr>
        <w:t>打造书香校园及其他文化传承方面特色工作</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19</w:t>
      </w:r>
    </w:p>
    <w:p w14:paraId="39FC82F4">
      <w:pPr>
        <w:keepNext w:val="0"/>
        <w:keepLines w:val="0"/>
        <w:pageBreakBefore w:val="0"/>
        <w:widowControl w:val="0"/>
        <w:numPr>
          <w:ilvl w:val="0"/>
          <w:numId w:val="1"/>
        </w:numPr>
        <w:kinsoku/>
        <w:wordWrap/>
        <w:overflowPunct/>
        <w:topLinePunct w:val="0"/>
        <w:autoSpaceDE/>
        <w:autoSpaceDN/>
        <w:bidi w:val="0"/>
        <w:adjustRightInd/>
        <w:snapToGrid/>
        <w:spacing w:line="440" w:lineRule="exact"/>
        <w:jc w:val="both"/>
        <w:textAlignment w:val="auto"/>
        <w:rPr>
          <w:rFonts w:hint="eastAsia" w:ascii="宋体" w:hAnsi="宋体" w:eastAsia="宋体" w:cs="黑体"/>
          <w:color w:val="auto"/>
          <w:sz w:val="21"/>
          <w:szCs w:val="21"/>
          <w:lang w:val="en-US" w:eastAsia="zh-CN"/>
        </w:rPr>
      </w:pPr>
      <w:r>
        <w:rPr>
          <w:rFonts w:hint="eastAsia" w:ascii="黑体" w:hAnsi="黑体" w:eastAsia="黑体" w:cs="黑体"/>
          <w:color w:val="auto"/>
          <w:sz w:val="24"/>
          <w:szCs w:val="24"/>
          <w:lang w:val="en-US" w:eastAsia="zh-CN"/>
        </w:rPr>
        <w:t>国际合作（未开展）</w:t>
      </w:r>
    </w:p>
    <w:p w14:paraId="3DB8F914">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color w:val="auto"/>
          <w:sz w:val="21"/>
          <w:szCs w:val="21"/>
          <w:lang w:val="en-US" w:eastAsia="zh-CN"/>
        </w:rPr>
      </w:pPr>
      <w:r>
        <w:rPr>
          <w:rFonts w:hint="eastAsia" w:ascii="宋体" w:hAnsi="宋体" w:eastAsia="宋体" w:cs="黑体"/>
          <w:color w:val="auto"/>
          <w:sz w:val="21"/>
          <w:szCs w:val="21"/>
        </w:rPr>
        <w:t>关于我校暂未开展国际合作的情况说明..........</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lang w:val="en-US" w:eastAsia="zh-CN"/>
        </w:rPr>
        <w:t>24</w:t>
      </w:r>
    </w:p>
    <w:p w14:paraId="54210495">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both"/>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5.</w:t>
      </w:r>
      <w:r>
        <w:rPr>
          <w:rFonts w:hint="eastAsia" w:ascii="黑体" w:hAnsi="黑体" w:eastAsia="黑体" w:cs="黑体"/>
          <w:color w:val="auto"/>
          <w:sz w:val="24"/>
          <w:szCs w:val="24"/>
          <w:lang w:val="en-US" w:eastAsia="zh-CN"/>
        </w:rPr>
        <w:t>产教融合</w:t>
      </w:r>
    </w:p>
    <w:p w14:paraId="696BA8D0">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color w:val="auto"/>
          <w:sz w:val="21"/>
          <w:szCs w:val="21"/>
          <w:lang w:val="en-US" w:eastAsia="zh-CN"/>
        </w:rPr>
      </w:pPr>
      <w:r>
        <w:rPr>
          <w:rFonts w:hint="eastAsia" w:ascii="宋体" w:hAnsi="宋体" w:eastAsia="宋体" w:cs="黑体"/>
          <w:color w:val="auto"/>
          <w:sz w:val="21"/>
          <w:szCs w:val="21"/>
        </w:rPr>
        <w:t>5.1</w:t>
      </w:r>
      <w:r>
        <w:rPr>
          <w:rFonts w:hint="eastAsia" w:ascii="宋体" w:hAnsi="宋体" w:eastAsia="宋体" w:cs="黑体"/>
          <w:color w:val="auto"/>
          <w:sz w:val="21"/>
          <w:szCs w:val="21"/>
          <w:lang w:val="en-US" w:eastAsia="zh-CN"/>
        </w:rPr>
        <w:t>校企双元育人</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lang w:val="en-US" w:eastAsia="zh-CN"/>
        </w:rPr>
        <w:t>26</w:t>
      </w:r>
    </w:p>
    <w:p w14:paraId="787DB5B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color w:val="auto"/>
          <w:sz w:val="21"/>
          <w:szCs w:val="21"/>
          <w:lang w:val="en-US" w:eastAsia="zh-CN"/>
        </w:rPr>
      </w:pPr>
      <w:r>
        <w:rPr>
          <w:rFonts w:hint="eastAsia" w:ascii="宋体" w:hAnsi="宋体" w:eastAsia="宋体" w:cs="黑体"/>
          <w:color w:val="auto"/>
          <w:sz w:val="21"/>
          <w:szCs w:val="21"/>
        </w:rPr>
        <w:t>5.2</w:t>
      </w:r>
      <w:r>
        <w:rPr>
          <w:rFonts w:hint="eastAsia" w:ascii="宋体" w:hAnsi="宋体" w:eastAsia="宋体" w:cs="黑体"/>
          <w:color w:val="auto"/>
          <w:sz w:val="21"/>
          <w:szCs w:val="21"/>
          <w:lang w:val="en-US" w:eastAsia="zh-CN"/>
        </w:rPr>
        <w:t>现代学徒制试点</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黑体"/>
          <w:color w:val="auto"/>
          <w:sz w:val="21"/>
          <w:szCs w:val="21"/>
        </w:rPr>
        <w:t>.</w:t>
      </w:r>
      <w:r>
        <w:rPr>
          <w:rFonts w:hint="eastAsia" w:ascii="宋体" w:hAnsi="宋体" w:eastAsia="宋体" w:cs="黑体"/>
          <w:bCs/>
          <w:color w:val="auto"/>
          <w:sz w:val="21"/>
          <w:szCs w:val="21"/>
          <w:lang w:val="en-US" w:eastAsia="zh-CN"/>
        </w:rPr>
        <w:t>27</w:t>
      </w:r>
    </w:p>
    <w:p w14:paraId="6D518E8F">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color w:val="auto"/>
          <w:sz w:val="21"/>
          <w:szCs w:val="21"/>
          <w:lang w:val="en-US" w:eastAsia="zh-CN"/>
        </w:rPr>
      </w:pPr>
      <w:r>
        <w:rPr>
          <w:rFonts w:hint="eastAsia" w:ascii="宋体" w:hAnsi="宋体" w:eastAsia="宋体" w:cs="黑体"/>
          <w:color w:val="auto"/>
          <w:sz w:val="21"/>
          <w:szCs w:val="21"/>
        </w:rPr>
        <w:t>5.3</w:t>
      </w:r>
      <w:r>
        <w:rPr>
          <w:rFonts w:hint="eastAsia" w:ascii="宋体" w:hAnsi="宋体" w:eastAsia="宋体" w:cs="黑体"/>
          <w:color w:val="auto"/>
          <w:sz w:val="21"/>
          <w:szCs w:val="21"/>
          <w:lang w:val="en-US" w:eastAsia="zh-CN"/>
        </w:rPr>
        <w:t>集团化办学</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黑体"/>
          <w:bCs/>
          <w:color w:val="auto"/>
          <w:sz w:val="21"/>
          <w:szCs w:val="21"/>
          <w:lang w:val="en-US" w:eastAsia="zh-CN"/>
        </w:rPr>
        <w:t>27</w:t>
      </w:r>
    </w:p>
    <w:p w14:paraId="36B68494">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color w:val="auto"/>
          <w:sz w:val="21"/>
          <w:szCs w:val="21"/>
          <w:lang w:val="en-US" w:eastAsia="zh-CN"/>
        </w:rPr>
      </w:pPr>
      <w:r>
        <w:rPr>
          <w:rFonts w:hint="eastAsia" w:ascii="宋体" w:hAnsi="宋体" w:eastAsia="宋体" w:cs="黑体"/>
          <w:color w:val="auto"/>
          <w:sz w:val="21"/>
          <w:szCs w:val="21"/>
        </w:rPr>
        <w:t>5.</w:t>
      </w:r>
      <w:r>
        <w:rPr>
          <w:rFonts w:hint="eastAsia" w:ascii="宋体" w:hAnsi="宋体" w:eastAsia="宋体" w:cs="黑体"/>
          <w:color w:val="auto"/>
          <w:sz w:val="21"/>
          <w:szCs w:val="21"/>
          <w:lang w:val="en-US" w:eastAsia="zh-CN"/>
        </w:rPr>
        <w:t>4基地建设</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bCs/>
          <w:color w:val="auto"/>
          <w:sz w:val="21"/>
          <w:szCs w:val="21"/>
          <w:lang w:val="en-US" w:eastAsia="zh-CN"/>
        </w:rPr>
        <w:t>28</w:t>
      </w:r>
    </w:p>
    <w:p w14:paraId="609C00F4">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黑体"/>
          <w:bCs/>
          <w:color w:val="auto"/>
          <w:sz w:val="21"/>
          <w:szCs w:val="21"/>
          <w:lang w:val="en-US" w:eastAsia="zh-CN"/>
        </w:rPr>
      </w:pPr>
      <w:r>
        <w:rPr>
          <w:rFonts w:hint="eastAsia" w:ascii="宋体" w:hAnsi="宋体" w:eastAsia="宋体" w:cs="黑体"/>
          <w:color w:val="auto"/>
          <w:sz w:val="21"/>
          <w:szCs w:val="21"/>
        </w:rPr>
        <w:t>5.</w:t>
      </w:r>
      <w:r>
        <w:rPr>
          <w:rFonts w:hint="eastAsia" w:ascii="宋体" w:hAnsi="宋体" w:eastAsia="宋体" w:cs="黑体"/>
          <w:color w:val="auto"/>
          <w:sz w:val="21"/>
          <w:szCs w:val="21"/>
          <w:lang w:val="en-US" w:eastAsia="zh-CN"/>
        </w:rPr>
        <w:t>5产业学院</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黑体"/>
          <w:bCs/>
          <w:color w:val="auto"/>
          <w:sz w:val="21"/>
          <w:szCs w:val="21"/>
          <w:lang w:val="en-US" w:eastAsia="zh-CN"/>
        </w:rPr>
        <w:t>29</w:t>
      </w:r>
    </w:p>
    <w:p w14:paraId="65159D8A">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color w:val="auto"/>
          <w:sz w:val="21"/>
          <w:szCs w:val="21"/>
          <w:lang w:val="en-US" w:eastAsia="zh-CN"/>
        </w:rPr>
      </w:pPr>
      <w:r>
        <w:rPr>
          <w:rFonts w:hint="eastAsia" w:ascii="宋体" w:hAnsi="宋体" w:eastAsia="宋体" w:cs="黑体"/>
          <w:color w:val="auto"/>
          <w:sz w:val="21"/>
          <w:szCs w:val="21"/>
        </w:rPr>
        <w:t>5.</w:t>
      </w:r>
      <w:r>
        <w:rPr>
          <w:rFonts w:hint="eastAsia" w:ascii="宋体" w:hAnsi="宋体" w:eastAsia="宋体" w:cs="黑体"/>
          <w:color w:val="auto"/>
          <w:sz w:val="21"/>
          <w:szCs w:val="21"/>
          <w:lang w:val="en-US" w:eastAsia="zh-CN"/>
        </w:rPr>
        <w:t>6市域产教联合体建设</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bCs/>
          <w:color w:val="auto"/>
          <w:sz w:val="21"/>
          <w:szCs w:val="21"/>
          <w:lang w:val="en-US" w:eastAsia="zh-CN"/>
        </w:rPr>
        <w:t>29</w:t>
      </w:r>
    </w:p>
    <w:p w14:paraId="109A3DC4">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黑体"/>
          <w:bCs/>
          <w:color w:val="auto"/>
          <w:sz w:val="21"/>
          <w:szCs w:val="21"/>
          <w:lang w:val="en-US" w:eastAsia="zh-CN"/>
        </w:rPr>
      </w:pPr>
      <w:r>
        <w:rPr>
          <w:rFonts w:hint="eastAsia" w:ascii="宋体" w:hAnsi="宋体" w:eastAsia="宋体" w:cs="黑体"/>
          <w:color w:val="auto"/>
          <w:sz w:val="21"/>
          <w:szCs w:val="21"/>
        </w:rPr>
        <w:t>5.</w:t>
      </w:r>
      <w:r>
        <w:rPr>
          <w:rFonts w:hint="eastAsia" w:ascii="宋体" w:hAnsi="宋体" w:eastAsia="宋体" w:cs="黑体"/>
          <w:color w:val="auto"/>
          <w:sz w:val="21"/>
          <w:szCs w:val="21"/>
          <w:lang w:val="en-US" w:eastAsia="zh-CN"/>
        </w:rPr>
        <w:t>7行业产教融合共同体建设</w:t>
      </w:r>
      <w:r>
        <w:rPr>
          <w:rFonts w:hint="eastAsia" w:ascii="宋体" w:hAnsi="宋体" w:eastAsia="宋体" w:cs="黑体"/>
          <w:color w:val="auto"/>
          <w:sz w:val="21"/>
          <w:szCs w:val="21"/>
        </w:rPr>
        <w:t>........................</w:t>
      </w:r>
      <w:r>
        <w:rPr>
          <w:rFonts w:hint="eastAsia" w:ascii="宋体" w:hAnsi="宋体" w:eastAsia="宋体" w:cs="黑体"/>
          <w:color w:val="auto"/>
          <w:sz w:val="21"/>
          <w:szCs w:val="21"/>
          <w:lang w:val="en-US" w:eastAsia="zh-CN"/>
        </w:rPr>
        <w:t>..............</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黑体"/>
          <w:color w:val="auto"/>
          <w:sz w:val="21"/>
          <w:szCs w:val="21"/>
        </w:rPr>
        <w:t>....</w:t>
      </w:r>
      <w:r>
        <w:rPr>
          <w:rFonts w:hint="eastAsia" w:ascii="宋体" w:hAnsi="宋体" w:eastAsia="宋体" w:cs="黑体"/>
          <w:bCs/>
          <w:color w:val="auto"/>
          <w:sz w:val="21"/>
          <w:szCs w:val="21"/>
          <w:lang w:val="en-US" w:eastAsia="zh-CN"/>
        </w:rPr>
        <w:t>30</w:t>
      </w:r>
    </w:p>
    <w:p w14:paraId="472C2AA5">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黑体"/>
          <w:bCs/>
          <w:color w:val="auto"/>
          <w:sz w:val="21"/>
          <w:szCs w:val="21"/>
          <w:lang w:val="en-US" w:eastAsia="zh-CN"/>
        </w:rPr>
      </w:pPr>
      <w:r>
        <w:rPr>
          <w:rFonts w:hint="eastAsia" w:ascii="宋体" w:hAnsi="宋体" w:eastAsia="宋体" w:cs="黑体"/>
          <w:color w:val="auto"/>
          <w:sz w:val="21"/>
          <w:szCs w:val="21"/>
        </w:rPr>
        <w:t>5.</w:t>
      </w:r>
      <w:r>
        <w:rPr>
          <w:rFonts w:hint="eastAsia" w:ascii="宋体" w:hAnsi="宋体" w:eastAsia="宋体" w:cs="黑体"/>
          <w:color w:val="auto"/>
          <w:sz w:val="21"/>
          <w:szCs w:val="21"/>
          <w:lang w:val="en-US" w:eastAsia="zh-CN"/>
        </w:rPr>
        <w:t>8产教融合实践中心建设及其他产教融合方面特色工作</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黑体"/>
          <w:color w:val="auto"/>
          <w:sz w:val="21"/>
          <w:szCs w:val="21"/>
        </w:rPr>
        <w:t>..........</w:t>
      </w:r>
      <w:r>
        <w:rPr>
          <w:rFonts w:hint="eastAsia" w:ascii="宋体" w:hAnsi="宋体" w:eastAsia="宋体" w:cs="黑体"/>
          <w:bCs/>
          <w:color w:val="auto"/>
          <w:sz w:val="21"/>
          <w:szCs w:val="21"/>
          <w:lang w:val="en-US" w:eastAsia="zh-CN"/>
        </w:rPr>
        <w:t>30</w:t>
      </w:r>
    </w:p>
    <w:p w14:paraId="7F78F50C">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6.</w:t>
      </w:r>
      <w:r>
        <w:rPr>
          <w:rFonts w:hint="eastAsia" w:ascii="黑体" w:hAnsi="黑体" w:eastAsia="黑体" w:cs="黑体"/>
          <w:color w:val="auto"/>
          <w:sz w:val="24"/>
          <w:szCs w:val="24"/>
          <w:lang w:val="en-US" w:eastAsia="zh-CN"/>
        </w:rPr>
        <w:t>发展保障</w:t>
      </w:r>
    </w:p>
    <w:p w14:paraId="7FB5E6BB">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bCs/>
          <w:color w:val="auto"/>
          <w:sz w:val="21"/>
          <w:szCs w:val="21"/>
          <w:lang w:val="en-US" w:eastAsia="zh-CN"/>
        </w:rPr>
      </w:pPr>
      <w:r>
        <w:rPr>
          <w:rFonts w:hint="eastAsia" w:ascii="宋体" w:hAnsi="宋体" w:eastAsia="宋体" w:cs="宋体"/>
          <w:color w:val="auto"/>
          <w:sz w:val="21"/>
          <w:szCs w:val="21"/>
        </w:rPr>
        <w:t>6.1</w:t>
      </w:r>
      <w:r>
        <w:rPr>
          <w:rFonts w:hint="eastAsia" w:ascii="宋体" w:hAnsi="宋体" w:eastAsia="宋体" w:cs="宋体"/>
          <w:color w:val="auto"/>
          <w:sz w:val="21"/>
          <w:szCs w:val="21"/>
          <w:lang w:val="en-US" w:eastAsia="zh-CN"/>
        </w:rPr>
        <w:t>党建引领</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bCs/>
          <w:color w:val="auto"/>
          <w:sz w:val="21"/>
          <w:szCs w:val="21"/>
          <w:lang w:val="en-US" w:eastAsia="zh-CN"/>
        </w:rPr>
        <w:t>33</w:t>
      </w:r>
    </w:p>
    <w:p w14:paraId="499DC525">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rPr>
        <w:t>6.2</w:t>
      </w:r>
      <w:r>
        <w:rPr>
          <w:rFonts w:hint="eastAsia" w:ascii="宋体" w:hAnsi="宋体" w:eastAsia="宋体" w:cs="宋体"/>
          <w:color w:val="auto"/>
          <w:sz w:val="21"/>
          <w:szCs w:val="21"/>
          <w:lang w:val="en-US" w:eastAsia="zh-CN"/>
        </w:rPr>
        <w:t>政策落实</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34</w:t>
      </w:r>
    </w:p>
    <w:p w14:paraId="4DE09A59">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color w:val="auto"/>
          <w:sz w:val="21"/>
          <w:szCs w:val="21"/>
          <w:lang w:val="en-US" w:eastAsia="zh-CN"/>
        </w:rPr>
      </w:pPr>
      <w:r>
        <w:rPr>
          <w:rFonts w:hint="eastAsia" w:ascii="宋体" w:hAnsi="宋体" w:eastAsia="宋体" w:cs="宋体"/>
          <w:color w:val="auto"/>
          <w:sz w:val="21"/>
          <w:szCs w:val="21"/>
          <w:lang w:eastAsia="zh-CN"/>
        </w:rPr>
        <w:t>6.</w:t>
      </w:r>
      <w:r>
        <w:rPr>
          <w:rFonts w:hint="eastAsia" w:ascii="宋体" w:hAnsi="宋体" w:eastAsia="宋体" w:cs="宋体"/>
          <w:color w:val="auto"/>
          <w:sz w:val="21"/>
          <w:szCs w:val="21"/>
          <w:lang w:val="en-US" w:eastAsia="zh-CN"/>
        </w:rPr>
        <w:t>4学校治理</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34</w:t>
      </w:r>
    </w:p>
    <w:p w14:paraId="1D9F6EBF">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color w:val="auto"/>
          <w:sz w:val="21"/>
          <w:szCs w:val="21"/>
          <w:lang w:val="en-US"/>
        </w:rPr>
      </w:pPr>
      <w:r>
        <w:rPr>
          <w:rFonts w:hint="eastAsia" w:ascii="宋体" w:hAnsi="宋体" w:eastAsia="宋体" w:cs="宋体"/>
          <w:color w:val="auto"/>
          <w:sz w:val="21"/>
          <w:szCs w:val="21"/>
          <w:lang w:eastAsia="zh-CN"/>
        </w:rPr>
        <w:t>6.</w:t>
      </w:r>
      <w:r>
        <w:rPr>
          <w:rFonts w:hint="eastAsia" w:ascii="宋体" w:hAnsi="宋体" w:eastAsia="宋体" w:cs="宋体"/>
          <w:color w:val="auto"/>
          <w:sz w:val="21"/>
          <w:szCs w:val="21"/>
          <w:lang w:val="en-US" w:eastAsia="zh-CN"/>
        </w:rPr>
        <w:t>5质量保证体系建设</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35</w:t>
      </w:r>
    </w:p>
    <w:p w14:paraId="5304594C">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eastAsia" w:ascii="宋体" w:hAnsi="宋体" w:eastAsia="宋体" w:cs="宋体"/>
          <w:bCs/>
          <w:color w:val="auto"/>
          <w:sz w:val="21"/>
          <w:szCs w:val="21"/>
          <w:lang w:val="en-US" w:eastAsia="zh-CN"/>
        </w:rPr>
      </w:pPr>
      <w:r>
        <w:rPr>
          <w:rFonts w:hint="eastAsia" w:ascii="宋体" w:hAnsi="宋体" w:eastAsia="宋体" w:cs="宋体"/>
          <w:color w:val="auto"/>
          <w:sz w:val="21"/>
          <w:szCs w:val="21"/>
        </w:rPr>
        <w:t>6.</w:t>
      </w:r>
      <w:r>
        <w:rPr>
          <w:rFonts w:hint="eastAsia" w:ascii="宋体" w:hAnsi="宋体" w:eastAsia="宋体" w:cs="宋体"/>
          <w:color w:val="auto"/>
          <w:sz w:val="21"/>
          <w:szCs w:val="21"/>
          <w:lang w:val="en-US" w:eastAsia="zh-CN"/>
        </w:rPr>
        <w:t>6师资队伍建设</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bCs/>
          <w:color w:val="auto"/>
          <w:sz w:val="21"/>
          <w:szCs w:val="21"/>
          <w:lang w:val="en-US" w:eastAsia="zh-CN"/>
        </w:rPr>
        <w:t>37</w:t>
      </w:r>
    </w:p>
    <w:p w14:paraId="3CD55EF0">
      <w:pPr>
        <w:keepNext w:val="0"/>
        <w:keepLines w:val="0"/>
        <w:pageBreakBefore w:val="0"/>
        <w:widowControl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color w:val="auto"/>
          <w:sz w:val="21"/>
          <w:szCs w:val="21"/>
          <w:lang w:val="en-US"/>
        </w:rPr>
      </w:pPr>
      <w:r>
        <w:rPr>
          <w:rFonts w:hint="eastAsia" w:ascii="宋体" w:hAnsi="宋体" w:eastAsia="宋体" w:cs="宋体"/>
          <w:color w:val="auto"/>
          <w:sz w:val="21"/>
          <w:szCs w:val="21"/>
        </w:rPr>
        <w:t>6.</w:t>
      </w:r>
      <w:r>
        <w:rPr>
          <w:rFonts w:hint="eastAsia" w:ascii="宋体" w:hAnsi="宋体" w:eastAsia="宋体" w:cs="宋体"/>
          <w:color w:val="auto"/>
          <w:sz w:val="21"/>
          <w:szCs w:val="21"/>
          <w:lang w:val="en-US" w:eastAsia="zh-CN"/>
        </w:rPr>
        <w:t>7经费投入及其他发展保障方面特色工作</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37</w:t>
      </w:r>
    </w:p>
    <w:p w14:paraId="79565E52">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黑体" w:hAnsi="黑体" w:eastAsia="黑体" w:cs="黑体"/>
          <w:color w:val="auto"/>
          <w:sz w:val="24"/>
          <w:szCs w:val="24"/>
        </w:rPr>
      </w:pPr>
      <w:r>
        <w:rPr>
          <w:rFonts w:hint="eastAsia" w:ascii="黑体" w:hAnsi="黑体" w:eastAsia="黑体" w:cs="黑体"/>
          <w:color w:val="auto"/>
          <w:sz w:val="24"/>
          <w:szCs w:val="24"/>
        </w:rPr>
        <w:t>7.</w:t>
      </w:r>
      <w:r>
        <w:rPr>
          <w:rFonts w:hint="eastAsia" w:ascii="黑体" w:hAnsi="黑体" w:eastAsia="黑体" w:cs="黑体"/>
          <w:color w:val="auto"/>
          <w:sz w:val="24"/>
          <w:szCs w:val="24"/>
          <w:lang w:val="en-US" w:eastAsia="zh-CN"/>
        </w:rPr>
        <w:t>面临挑战</w:t>
      </w:r>
    </w:p>
    <w:p w14:paraId="54919C46">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ascii="黑体" w:hAnsi="黑体" w:eastAsia="黑体" w:cs="黑体"/>
          <w:color w:val="FF0000"/>
          <w:sz w:val="21"/>
          <w:szCs w:val="21"/>
        </w:rPr>
      </w:pPr>
      <w:r>
        <w:rPr>
          <w:rFonts w:hint="eastAsia" w:ascii="宋体" w:hAnsi="宋体" w:eastAsia="宋体" w:cs="黑体"/>
          <w:color w:val="auto"/>
          <w:sz w:val="21"/>
          <w:szCs w:val="21"/>
          <w:lang w:val="en-US" w:eastAsia="zh-CN"/>
        </w:rPr>
        <w:t>挑战1</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38</w:t>
      </w:r>
      <w:r>
        <w:rPr>
          <w:rFonts w:hint="eastAsia" w:ascii="宋体" w:hAnsi="宋体" w:eastAsia="宋体" w:cs="黑体"/>
          <w:color w:val="auto"/>
          <w:sz w:val="21"/>
          <w:szCs w:val="21"/>
          <w:lang w:val="en-US" w:eastAsia="zh-CN"/>
        </w:rPr>
        <w:t>挑战2</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38</w:t>
      </w:r>
      <w:r>
        <w:rPr>
          <w:rFonts w:hint="eastAsia" w:ascii="宋体" w:hAnsi="宋体" w:eastAsia="宋体" w:cs="黑体"/>
          <w:color w:val="auto"/>
          <w:sz w:val="21"/>
          <w:szCs w:val="21"/>
          <w:lang w:val="en-US" w:eastAsia="zh-CN"/>
        </w:rPr>
        <w:t>挑战3</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黑体"/>
          <w:color w:val="auto"/>
          <w:sz w:val="21"/>
          <w:szCs w:val="21"/>
          <w:lang w:val="en-US" w:eastAsia="zh-CN"/>
        </w:rPr>
        <w:t>38挑战4</w:t>
      </w:r>
      <w:r>
        <w:rPr>
          <w:rFonts w:hint="eastAsia" w:ascii="宋体" w:hAnsi="宋体" w:eastAsia="宋体" w:cs="黑体"/>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黑体"/>
          <w:color w:val="auto"/>
          <w:sz w:val="21"/>
          <w:szCs w:val="21"/>
          <w:lang w:val="en-US" w:eastAsia="zh-CN"/>
        </w:rPr>
        <w:t>39挑战5</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39</w:t>
      </w:r>
    </w:p>
    <w:p w14:paraId="4209F8AD">
      <w:pPr>
        <w:pageBreakBefore w:val="0"/>
        <w:overflowPunct/>
        <w:topLinePunct w:val="0"/>
        <w:bidi w:val="0"/>
        <w:spacing w:line="440" w:lineRule="exact"/>
        <w:jc w:val="center"/>
        <w:rPr>
          <w:rFonts w:hint="eastAsia" w:ascii="黑体" w:hAnsi="黑体" w:eastAsia="黑体" w:cs="黑体"/>
          <w:color w:val="FF0000"/>
          <w:sz w:val="32"/>
          <w:szCs w:val="32"/>
          <w:lang w:eastAsia="zh-CN"/>
        </w:rPr>
      </w:pPr>
    </w:p>
    <w:p w14:paraId="6804F1A1">
      <w:pPr>
        <w:pageBreakBefore w:val="0"/>
        <w:overflowPunct/>
        <w:topLinePunct w:val="0"/>
        <w:bidi w:val="0"/>
        <w:spacing w:line="440" w:lineRule="exact"/>
        <w:jc w:val="center"/>
        <w:rPr>
          <w:rFonts w:hint="eastAsia" w:ascii="黑体" w:hAnsi="黑体" w:eastAsia="黑体" w:cs="黑体"/>
          <w:color w:val="FF0000"/>
          <w:sz w:val="32"/>
          <w:szCs w:val="32"/>
          <w:lang w:eastAsia="zh-CN"/>
        </w:rPr>
      </w:pPr>
    </w:p>
    <w:p w14:paraId="026D7C1B">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5918102E">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43DDE75F">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2F6C0CF9">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112501D9">
      <w:pPr>
        <w:pageBreakBefore w:val="0"/>
        <w:overflowPunct/>
        <w:topLinePunct w:val="0"/>
        <w:bidi w:val="0"/>
        <w:spacing w:line="440" w:lineRule="exact"/>
        <w:jc w:val="center"/>
        <w:rPr>
          <w:rFonts w:hint="eastAsia" w:ascii="黑体" w:hAnsi="黑体" w:eastAsia="黑体" w:cs="黑体"/>
          <w:color w:val="auto"/>
          <w:sz w:val="32"/>
          <w:szCs w:val="32"/>
          <w:lang w:eastAsia="zh-CN"/>
        </w:rPr>
      </w:pPr>
    </w:p>
    <w:p w14:paraId="24AC6E88">
      <w:pPr>
        <w:pageBreakBefore w:val="0"/>
        <w:overflowPunct/>
        <w:topLinePunct w:val="0"/>
        <w:bidi w:val="0"/>
        <w:spacing w:line="44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表</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录</w:t>
      </w:r>
    </w:p>
    <w:p w14:paraId="13E553F0">
      <w:pPr>
        <w:pStyle w:val="13"/>
        <w:keepNext w:val="0"/>
        <w:keepLines w:val="0"/>
        <w:pageBreakBefore w:val="0"/>
        <w:widowControl/>
        <w:numPr>
          <w:ilvl w:val="0"/>
          <w:numId w:val="0"/>
        </w:numPr>
        <w:kinsoku/>
        <w:wordWrap/>
        <w:overflowPunct/>
        <w:topLinePunct w:val="0"/>
        <w:autoSpaceDE/>
        <w:autoSpaceDN/>
        <w:bidi w:val="0"/>
        <w:snapToGrid/>
        <w:spacing w:beforeAutospacing="0" w:afterAutospacing="0" w:line="440" w:lineRule="exact"/>
        <w:jc w:val="distribute"/>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1.人才培养</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cs="宋体"/>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1</w:t>
      </w:r>
    </w:p>
    <w:p w14:paraId="20B4EA80">
      <w:pPr>
        <w:keepNext w:val="0"/>
        <w:keepLines w:val="0"/>
        <w:pageBreakBefore w:val="0"/>
        <w:widowControl w:val="0"/>
        <w:numPr>
          <w:ilvl w:val="0"/>
          <w:numId w:val="0"/>
        </w:numPr>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color w:val="auto"/>
          <w:kern w:val="0"/>
          <w:sz w:val="24"/>
          <w:szCs w:val="24"/>
          <w:lang w:val="en-US" w:eastAsia="zh-CN" w:bidi="ar-SA"/>
        </w:rPr>
        <w:t>2.服务贡献</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13</w:t>
      </w:r>
    </w:p>
    <w:p w14:paraId="63546E05">
      <w:pPr>
        <w:keepNext w:val="0"/>
        <w:keepLines w:val="0"/>
        <w:pageBreakBefore w:val="0"/>
        <w:widowControl w:val="0"/>
        <w:numPr>
          <w:ilvl w:val="0"/>
          <w:numId w:val="0"/>
        </w:numPr>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auto"/>
          <w:kern w:val="0"/>
          <w:sz w:val="24"/>
          <w:szCs w:val="24"/>
          <w:lang w:val="en-US" w:eastAsia="zh-CN"/>
        </w:rPr>
        <w:t>3.文化传承</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18</w:t>
      </w:r>
    </w:p>
    <w:p w14:paraId="2C758D75">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auto"/>
          <w:sz w:val="21"/>
          <w:szCs w:val="21"/>
          <w:lang w:val="en-US" w:eastAsia="zh-CN"/>
        </w:rPr>
      </w:pPr>
      <w:r>
        <w:rPr>
          <w:rFonts w:hint="eastAsia" w:ascii="黑体" w:hAnsi="黑体" w:eastAsia="黑体" w:cs="黑体"/>
          <w:b w:val="0"/>
          <w:bCs/>
          <w:color w:val="auto"/>
          <w:kern w:val="0"/>
          <w:sz w:val="24"/>
          <w:szCs w:val="24"/>
          <w:lang w:val="en-US" w:eastAsia="zh-CN"/>
        </w:rPr>
        <w:t>4.国际合作（未开展）</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24</w:t>
      </w:r>
    </w:p>
    <w:p w14:paraId="5F091989">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auto"/>
          <w:kern w:val="0"/>
          <w:sz w:val="24"/>
          <w:szCs w:val="24"/>
          <w:lang w:val="en-US" w:eastAsia="zh-CN"/>
        </w:rPr>
        <w:t>5.产教融合</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26</w:t>
      </w:r>
    </w:p>
    <w:p w14:paraId="2B7F60E9">
      <w:pPr>
        <w:pStyle w:val="6"/>
        <w:pageBreakBefore w:val="0"/>
        <w:widowControl w:val="0"/>
        <w:kinsoku/>
        <w:wordWrap/>
        <w:overflowPunct/>
        <w:topLinePunct w:val="0"/>
        <w:autoSpaceDE/>
        <w:autoSpaceDN/>
        <w:bidi w:val="0"/>
        <w:snapToGrid/>
        <w:spacing w:before="0" w:after="0" w:line="440" w:lineRule="exact"/>
        <w:jc w:val="left"/>
        <w:textAlignment w:val="auto"/>
        <w:rPr>
          <w:rFonts w:hint="default" w:ascii="宋体" w:hAnsi="宋体" w:eastAsia="宋体" w:cstheme="minorBidi"/>
          <w:b w:val="0"/>
          <w:bCs/>
          <w:color w:val="auto"/>
          <w:kern w:val="2"/>
          <w:sz w:val="21"/>
          <w:szCs w:val="21"/>
          <w:lang w:val="en-US" w:eastAsia="zh-CN" w:bidi="ar-SA"/>
        </w:rPr>
      </w:pPr>
      <w:r>
        <w:rPr>
          <w:rFonts w:hint="eastAsia" w:ascii="宋体" w:hAnsi="宋体" w:eastAsia="宋体" w:cstheme="minorBidi"/>
          <w:b w:val="0"/>
          <w:bCs/>
          <w:color w:val="auto"/>
          <w:kern w:val="2"/>
          <w:sz w:val="21"/>
          <w:szCs w:val="21"/>
          <w:lang w:val="en-US" w:eastAsia="zh-CN" w:bidi="ar-SA"/>
        </w:rPr>
        <w:t>表5-1 校内实训基地一览表 ...........................................................28</w:t>
      </w:r>
    </w:p>
    <w:p w14:paraId="1EA42720">
      <w:pPr>
        <w:pStyle w:val="6"/>
        <w:pageBreakBefore w:val="0"/>
        <w:widowControl w:val="0"/>
        <w:kinsoku/>
        <w:wordWrap/>
        <w:overflowPunct/>
        <w:topLinePunct w:val="0"/>
        <w:autoSpaceDE/>
        <w:autoSpaceDN/>
        <w:bidi w:val="0"/>
        <w:snapToGrid/>
        <w:spacing w:before="0" w:after="0" w:line="440" w:lineRule="exact"/>
        <w:jc w:val="left"/>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auto"/>
          <w:kern w:val="0"/>
          <w:sz w:val="24"/>
          <w:szCs w:val="24"/>
          <w:lang w:val="en-US" w:eastAsia="zh-CN"/>
        </w:rPr>
        <w:t>6.发展保障</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33</w:t>
      </w:r>
    </w:p>
    <w:p w14:paraId="4408B22A">
      <w:pPr>
        <w:keepNext w:val="0"/>
        <w:keepLines w:val="0"/>
        <w:pageBreakBefore w:val="0"/>
        <w:widowControl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黑体" w:hAnsi="黑体" w:eastAsia="黑体" w:cs="黑体"/>
          <w:b w:val="0"/>
          <w:bCs/>
          <w:color w:val="auto"/>
          <w:kern w:val="0"/>
          <w:sz w:val="24"/>
          <w:szCs w:val="24"/>
          <w:lang w:val="en-US" w:eastAsia="zh-CN"/>
        </w:rPr>
        <w:t>7.面临挑战</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38</w:t>
      </w:r>
    </w:p>
    <w:p w14:paraId="16DFC024">
      <w:pPr>
        <w:pageBreakBefore w:val="0"/>
        <w:overflowPunct/>
        <w:topLinePunct w:val="0"/>
        <w:bidi w:val="0"/>
        <w:spacing w:line="440" w:lineRule="exact"/>
        <w:jc w:val="center"/>
        <w:rPr>
          <w:rFonts w:hint="eastAsia" w:ascii="黑体" w:hAnsi="黑体" w:eastAsia="黑体" w:cs="黑体"/>
          <w:color w:val="FF0000"/>
          <w:sz w:val="32"/>
          <w:szCs w:val="32"/>
          <w:lang w:eastAsia="zh-CN"/>
        </w:rPr>
      </w:pPr>
    </w:p>
    <w:p w14:paraId="57F14334">
      <w:pPr>
        <w:pageBreakBefore w:val="0"/>
        <w:numPr>
          <w:ilvl w:val="0"/>
          <w:numId w:val="0"/>
        </w:numPr>
        <w:overflowPunct/>
        <w:topLinePunct w:val="0"/>
        <w:bidi w:val="0"/>
        <w:spacing w:line="440" w:lineRule="exact"/>
        <w:jc w:val="left"/>
        <w:rPr>
          <w:rFonts w:hint="eastAsia" w:ascii="黑体" w:hAnsi="黑体" w:eastAsia="黑体" w:cs="黑体"/>
          <w:color w:val="FF0000"/>
          <w:sz w:val="32"/>
          <w:szCs w:val="32"/>
          <w:lang w:eastAsia="zh-CN"/>
        </w:rPr>
      </w:pPr>
    </w:p>
    <w:p w14:paraId="1F15854D">
      <w:pPr>
        <w:pageBreakBefore w:val="0"/>
        <w:numPr>
          <w:ilvl w:val="0"/>
          <w:numId w:val="0"/>
        </w:numPr>
        <w:overflowPunct/>
        <w:topLinePunct w:val="0"/>
        <w:bidi w:val="0"/>
        <w:spacing w:line="440" w:lineRule="exact"/>
        <w:jc w:val="center"/>
        <w:rPr>
          <w:rFonts w:hint="eastAsia" w:ascii="黑体" w:hAnsi="黑体" w:eastAsia="黑体" w:cs="黑体"/>
          <w:color w:val="FF0000"/>
          <w:sz w:val="32"/>
          <w:szCs w:val="32"/>
          <w:lang w:eastAsia="zh-CN"/>
        </w:rPr>
      </w:pPr>
    </w:p>
    <w:p w14:paraId="319D0CA9">
      <w:pPr>
        <w:pageBreakBefore w:val="0"/>
        <w:numPr>
          <w:ilvl w:val="0"/>
          <w:numId w:val="0"/>
        </w:numPr>
        <w:overflowPunct/>
        <w:topLinePunct w:val="0"/>
        <w:bidi w:val="0"/>
        <w:spacing w:line="440" w:lineRule="exact"/>
        <w:jc w:val="center"/>
        <w:rPr>
          <w:rFonts w:hint="eastAsia" w:ascii="黑体" w:hAnsi="黑体" w:eastAsia="黑体" w:cs="黑体"/>
          <w:color w:val="FF0000"/>
          <w:sz w:val="32"/>
          <w:szCs w:val="32"/>
          <w:lang w:eastAsia="zh-CN"/>
        </w:rPr>
      </w:pPr>
    </w:p>
    <w:p w14:paraId="2FB0BC5C">
      <w:pPr>
        <w:pageBreakBefore w:val="0"/>
        <w:numPr>
          <w:ilvl w:val="0"/>
          <w:numId w:val="0"/>
        </w:numPr>
        <w:overflowPunct/>
        <w:topLinePunct w:val="0"/>
        <w:bidi w:val="0"/>
        <w:spacing w:line="440" w:lineRule="exact"/>
        <w:jc w:val="center"/>
        <w:rPr>
          <w:rFonts w:hint="eastAsia" w:ascii="黑体" w:hAnsi="黑体" w:eastAsia="黑体" w:cs="黑体"/>
          <w:color w:val="FF0000"/>
          <w:sz w:val="32"/>
          <w:szCs w:val="32"/>
          <w:lang w:eastAsia="zh-CN"/>
        </w:rPr>
      </w:pPr>
    </w:p>
    <w:p w14:paraId="534C6674">
      <w:pPr>
        <w:pageBreakBefore w:val="0"/>
        <w:numPr>
          <w:ilvl w:val="0"/>
          <w:numId w:val="0"/>
        </w:numPr>
        <w:overflowPunct/>
        <w:topLinePunct w:val="0"/>
        <w:bidi w:val="0"/>
        <w:spacing w:line="440" w:lineRule="exact"/>
        <w:jc w:val="center"/>
        <w:rPr>
          <w:rFonts w:hint="eastAsia" w:ascii="黑体" w:hAnsi="黑体" w:eastAsia="黑体" w:cs="黑体"/>
          <w:color w:val="FF0000"/>
          <w:sz w:val="32"/>
          <w:szCs w:val="32"/>
          <w:lang w:eastAsia="zh-CN"/>
        </w:rPr>
      </w:pPr>
    </w:p>
    <w:p w14:paraId="206DA547">
      <w:pPr>
        <w:pageBreakBefore w:val="0"/>
        <w:numPr>
          <w:ilvl w:val="0"/>
          <w:numId w:val="0"/>
        </w:numPr>
        <w:overflowPunct/>
        <w:topLinePunct w:val="0"/>
        <w:bidi w:val="0"/>
        <w:spacing w:line="440" w:lineRule="exact"/>
        <w:jc w:val="center"/>
        <w:rPr>
          <w:rFonts w:hint="eastAsia" w:ascii="黑体" w:hAnsi="黑体" w:eastAsia="黑体" w:cs="黑体"/>
          <w:color w:val="FF0000"/>
          <w:sz w:val="32"/>
          <w:szCs w:val="32"/>
          <w:lang w:eastAsia="zh-CN"/>
        </w:rPr>
      </w:pPr>
    </w:p>
    <w:p w14:paraId="09DF69CF">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18E3535E">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3CB8D721">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6695F2FD">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673942FC">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77772BA8">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288D0B3D">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0CA2609B">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3E5DB3DF">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290544B9">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3CBAAD67">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2DD30EC7">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1F79DD51">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7718BEB1">
      <w:pPr>
        <w:pageBreakBefore w:val="0"/>
        <w:numPr>
          <w:ilvl w:val="0"/>
          <w:numId w:val="0"/>
        </w:numPr>
        <w:overflowPunct/>
        <w:topLinePunct w:val="0"/>
        <w:bidi w:val="0"/>
        <w:spacing w:line="440" w:lineRule="exact"/>
        <w:jc w:val="center"/>
        <w:rPr>
          <w:rFonts w:hint="eastAsia" w:ascii="黑体" w:hAnsi="黑体" w:eastAsia="黑体" w:cs="黑体"/>
          <w:color w:val="auto"/>
          <w:sz w:val="32"/>
          <w:szCs w:val="32"/>
          <w:lang w:eastAsia="zh-CN"/>
        </w:rPr>
      </w:pPr>
    </w:p>
    <w:p w14:paraId="0A849A92">
      <w:pPr>
        <w:pageBreakBefore w:val="0"/>
        <w:numPr>
          <w:ilvl w:val="0"/>
          <w:numId w:val="0"/>
        </w:numPr>
        <w:overflowPunct/>
        <w:topLinePunct w:val="0"/>
        <w:bidi w:val="0"/>
        <w:spacing w:line="440" w:lineRule="exact"/>
        <w:jc w:val="center"/>
        <w:rPr>
          <w:rFonts w:ascii="黑体" w:hAnsi="黑体" w:eastAsia="黑体" w:cs="黑体"/>
          <w:color w:val="auto"/>
          <w:sz w:val="32"/>
          <w:szCs w:val="32"/>
        </w:rPr>
      </w:pPr>
      <w:r>
        <w:rPr>
          <w:rFonts w:hint="eastAsia" w:ascii="黑体" w:hAnsi="黑体" w:eastAsia="黑体" w:cs="黑体"/>
          <w:color w:val="auto"/>
          <w:sz w:val="32"/>
          <w:szCs w:val="32"/>
          <w:lang w:eastAsia="zh-CN"/>
        </w:rPr>
        <w:t>图</w:t>
      </w:r>
      <w:r>
        <w:rPr>
          <w:rFonts w:hint="eastAsia" w:ascii="黑体" w:hAnsi="黑体" w:eastAsia="黑体" w:cs="黑体"/>
          <w:color w:val="auto"/>
          <w:sz w:val="32"/>
          <w:szCs w:val="32"/>
          <w:lang w:val="en-US" w:eastAsia="zh-CN"/>
        </w:rPr>
        <w:t xml:space="preserve"> </w:t>
      </w:r>
      <w:r>
        <w:rPr>
          <w:rFonts w:hint="eastAsia" w:ascii="黑体" w:hAnsi="黑体" w:eastAsia="黑体" w:cs="黑体"/>
          <w:color w:val="auto"/>
          <w:sz w:val="32"/>
          <w:szCs w:val="32"/>
        </w:rPr>
        <w:t>目 录</w:t>
      </w:r>
    </w:p>
    <w:p w14:paraId="1CDF0B66">
      <w:pPr>
        <w:pStyle w:val="13"/>
        <w:keepNext w:val="0"/>
        <w:keepLines w:val="0"/>
        <w:pageBreakBefore w:val="0"/>
        <w:widowControl/>
        <w:numPr>
          <w:ilvl w:val="0"/>
          <w:numId w:val="0"/>
        </w:numPr>
        <w:kinsoku/>
        <w:wordWrap/>
        <w:overflowPunct/>
        <w:topLinePunct w:val="0"/>
        <w:autoSpaceDE/>
        <w:autoSpaceDN/>
        <w:bidi w:val="0"/>
        <w:snapToGrid/>
        <w:spacing w:beforeAutospacing="0" w:afterAutospacing="0" w:line="440" w:lineRule="exact"/>
        <w:jc w:val="distribute"/>
        <w:textAlignment w:val="auto"/>
        <w:rPr>
          <w:rFonts w:hint="eastAsia" w:ascii="黑体" w:hAnsi="黑体" w:eastAsia="黑体" w:cs="黑体"/>
          <w:color w:val="auto"/>
          <w:sz w:val="24"/>
          <w:szCs w:val="24"/>
          <w:lang w:val="en-US" w:eastAsia="zh-CN"/>
        </w:rPr>
      </w:pPr>
      <w:r>
        <w:rPr>
          <w:rFonts w:hint="eastAsia" w:ascii="黑体" w:hAnsi="黑体" w:eastAsia="黑体" w:cs="黑体"/>
          <w:color w:val="auto"/>
          <w:sz w:val="24"/>
          <w:szCs w:val="24"/>
          <w:lang w:val="en-US" w:eastAsia="zh-CN"/>
        </w:rPr>
        <w:t>1.人才培养</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b w:val="0"/>
          <w:bCs/>
          <w:color w:val="auto"/>
          <w:sz w:val="21"/>
          <w:szCs w:val="21"/>
        </w:rPr>
        <w:t>...</w:t>
      </w:r>
      <w:r>
        <w:rPr>
          <w:rFonts w:hint="eastAsia" w:ascii="宋体" w:hAnsi="宋体" w:cs="宋体"/>
          <w:b w:val="0"/>
          <w:bCs/>
          <w:color w:val="auto"/>
          <w:sz w:val="21"/>
          <w:szCs w:val="21"/>
          <w:lang w:val="en-US" w:eastAsia="zh-CN"/>
        </w:rPr>
        <w:t>1</w:t>
      </w:r>
    </w:p>
    <w:p w14:paraId="6BE1759C">
      <w:pPr>
        <w:keepNext w:val="0"/>
        <w:keepLines w:val="0"/>
        <w:pageBreakBefore w:val="0"/>
        <w:widowControl/>
        <w:kinsoku/>
        <w:wordWrap/>
        <w:overflowPunct/>
        <w:topLinePunct w:val="0"/>
        <w:autoSpaceDE/>
        <w:autoSpaceDN/>
        <w:bidi w:val="0"/>
        <w:adjustRightInd/>
        <w:snapToGrid/>
        <w:spacing w:line="440" w:lineRule="exact"/>
        <w:jc w:val="distribute"/>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kern w:val="0"/>
          <w:sz w:val="21"/>
          <w:szCs w:val="21"/>
          <w:lang w:eastAsia="zh-CN" w:bidi="ar"/>
        </w:rPr>
        <w:t>图</w:t>
      </w:r>
      <w:r>
        <w:rPr>
          <w:rFonts w:hint="eastAsia" w:ascii="宋体" w:hAnsi="宋体" w:eastAsia="宋体" w:cs="宋体"/>
          <w:b w:val="0"/>
          <w:bCs/>
          <w:color w:val="auto"/>
          <w:kern w:val="0"/>
          <w:sz w:val="21"/>
          <w:szCs w:val="21"/>
          <w:lang w:val="en-US" w:eastAsia="zh-CN" w:bidi="ar"/>
        </w:rPr>
        <w:t>1-1</w:t>
      </w:r>
      <w:r>
        <w:rPr>
          <w:rFonts w:hint="eastAsia" w:ascii="宋体" w:hAnsi="宋体" w:eastAsia="宋体" w:cs="宋体"/>
          <w:b w:val="0"/>
          <w:bCs/>
          <w:color w:val="auto"/>
          <w:kern w:val="0"/>
          <w:sz w:val="21"/>
          <w:szCs w:val="21"/>
          <w:lang w:eastAsia="zh-CN" w:bidi="ar"/>
        </w:rPr>
        <w:t>食品加工与保鲜（酿造）</w:t>
      </w:r>
      <w:r>
        <w:rPr>
          <w:rFonts w:hint="eastAsia" w:ascii="宋体" w:hAnsi="宋体" w:eastAsia="宋体" w:cs="宋体"/>
          <w:b w:val="0"/>
          <w:bCs/>
          <w:color w:val="auto"/>
          <w:sz w:val="21"/>
          <w:szCs w:val="21"/>
          <w:lang w:eastAsia="zh-CN"/>
        </w:rPr>
        <w:t>一体化课程</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8</w:t>
      </w:r>
    </w:p>
    <w:p w14:paraId="23CC58BA">
      <w:pPr>
        <w:keepNext w:val="0"/>
        <w:keepLines w:val="0"/>
        <w:pageBreakBefore w:val="0"/>
        <w:kinsoku/>
        <w:wordWrap/>
        <w:overflowPunct/>
        <w:topLinePunct w:val="0"/>
        <w:autoSpaceDE/>
        <w:autoSpaceDN/>
        <w:bidi w:val="0"/>
        <w:adjustRightInd/>
        <w:snapToGrid/>
        <w:spacing w:line="440" w:lineRule="exact"/>
        <w:jc w:val="left"/>
        <w:rPr>
          <w:rFonts w:hint="default" w:ascii="宋体" w:hAnsi="宋体" w:eastAsia="宋体" w:cs="宋体"/>
          <w:b w:val="0"/>
          <w:bCs/>
          <w:color w:val="auto"/>
          <w:sz w:val="21"/>
          <w:szCs w:val="21"/>
          <w:lang w:val="en-US"/>
        </w:rPr>
      </w:pPr>
      <w:r>
        <w:rPr>
          <w:rFonts w:hint="eastAsia" w:ascii="宋体" w:hAnsi="宋体" w:eastAsia="宋体" w:cs="宋体"/>
          <w:b w:val="0"/>
          <w:bCs/>
          <w:color w:val="auto"/>
          <w:kern w:val="0"/>
          <w:sz w:val="21"/>
          <w:szCs w:val="21"/>
          <w:lang w:eastAsia="zh-CN" w:bidi="ar"/>
        </w:rPr>
        <w:t>图1-2 校企合作（河套酒业）</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8</w:t>
      </w:r>
    </w:p>
    <w:p w14:paraId="67CCCE83">
      <w:pPr>
        <w:keepNext w:val="0"/>
        <w:keepLines w:val="0"/>
        <w:pageBreakBefore w:val="0"/>
        <w:widowControl w:val="0"/>
        <w:kinsoku/>
        <w:wordWrap/>
        <w:overflowPunct/>
        <w:topLinePunct w:val="0"/>
        <w:autoSpaceDE/>
        <w:autoSpaceDN/>
        <w:bidi w:val="0"/>
        <w:adjustRightInd/>
        <w:snapToGrid/>
        <w:spacing w:line="440" w:lineRule="exact"/>
        <w:jc w:val="left"/>
        <w:textAlignment w:val="auto"/>
        <w:rPr>
          <w:rFonts w:hint="eastAsia" w:ascii="宋体" w:hAnsi="宋体" w:eastAsia="宋体" w:cs="宋体"/>
          <w:b w:val="0"/>
          <w:bCs/>
          <w:color w:val="auto"/>
          <w:sz w:val="21"/>
          <w:szCs w:val="21"/>
          <w:lang w:val="en-US" w:eastAsia="zh-CN"/>
        </w:rPr>
      </w:pPr>
      <w:r>
        <w:rPr>
          <w:rFonts w:hint="eastAsia" w:ascii="宋体" w:hAnsi="宋体" w:eastAsia="宋体" w:cs="宋体"/>
          <w:b w:val="0"/>
          <w:bCs/>
          <w:i w:val="0"/>
          <w:iCs w:val="0"/>
          <w:color w:val="auto"/>
          <w:kern w:val="2"/>
          <w:sz w:val="21"/>
          <w:szCs w:val="21"/>
          <w:highlight w:val="none"/>
          <w:vertAlign w:val="baseline"/>
          <w:lang w:val="en-US" w:eastAsia="zh-CN" w:bidi="ar-SA"/>
        </w:rPr>
        <w:t>图1-3 远足游学实践活动</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.9</w:t>
      </w:r>
    </w:p>
    <w:p w14:paraId="6E0535B8">
      <w:pPr>
        <w:keepNext w:val="0"/>
        <w:keepLines w:val="0"/>
        <w:pageBreakBefore w:val="0"/>
        <w:kinsoku/>
        <w:wordWrap/>
        <w:overflowPunct/>
        <w:topLinePunct w:val="0"/>
        <w:autoSpaceDE/>
        <w:autoSpaceDN/>
        <w:bidi w:val="0"/>
        <w:adjustRightInd/>
        <w:snapToGrid/>
        <w:spacing w:line="440" w:lineRule="exact"/>
        <w:jc w:val="left"/>
        <w:rPr>
          <w:rFonts w:hint="default" w:ascii="宋体" w:hAnsi="宋体" w:eastAsia="宋体" w:cs="宋体"/>
          <w:b w:val="0"/>
          <w:bCs/>
          <w:color w:val="auto"/>
          <w:sz w:val="21"/>
          <w:szCs w:val="21"/>
          <w:lang w:val="en-US" w:eastAsia="zh-CN"/>
        </w:rPr>
      </w:pPr>
      <w:r>
        <w:rPr>
          <w:rFonts w:hint="eastAsia" w:ascii="宋体" w:hAnsi="宋体" w:eastAsia="宋体" w:cs="宋体"/>
          <w:b w:val="0"/>
          <w:bCs/>
          <w:i w:val="0"/>
          <w:iCs w:val="0"/>
          <w:caps w:val="0"/>
          <w:color w:val="auto"/>
          <w:spacing w:val="0"/>
          <w:sz w:val="21"/>
          <w:szCs w:val="21"/>
          <w:lang w:eastAsia="zh-CN"/>
        </w:rPr>
        <w:t>图</w:t>
      </w:r>
      <w:r>
        <w:rPr>
          <w:rFonts w:hint="eastAsia" w:ascii="宋体" w:hAnsi="宋体" w:eastAsia="宋体" w:cs="宋体"/>
          <w:b w:val="0"/>
          <w:bCs/>
          <w:i w:val="0"/>
          <w:iCs w:val="0"/>
          <w:caps w:val="0"/>
          <w:color w:val="auto"/>
          <w:spacing w:val="0"/>
          <w:sz w:val="21"/>
          <w:szCs w:val="21"/>
          <w:lang w:val="en-US" w:eastAsia="zh-CN"/>
        </w:rPr>
        <w:t>1-4 技能大赛护理项目师生合影</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10</w:t>
      </w:r>
    </w:p>
    <w:p w14:paraId="0634BD6F">
      <w:pPr>
        <w:keepNext w:val="0"/>
        <w:keepLines w:val="0"/>
        <w:pageBreakBefore w:val="0"/>
        <w:widowControl w:val="0"/>
        <w:kinsoku/>
        <w:wordWrap/>
        <w:overflowPunct/>
        <w:topLinePunct w:val="0"/>
        <w:autoSpaceDE/>
        <w:autoSpaceDN/>
        <w:bidi w:val="0"/>
        <w:adjustRightInd/>
        <w:snapToGrid/>
        <w:spacing w:line="440" w:lineRule="exact"/>
        <w:contextualSpacing/>
        <w:jc w:val="left"/>
        <w:textAlignment w:val="auto"/>
        <w:rPr>
          <w:rFonts w:hint="default" w:ascii="宋体" w:hAnsi="宋体" w:eastAsia="宋体" w:cs="宋体"/>
          <w:b w:val="0"/>
          <w:bCs/>
          <w:color w:val="auto"/>
          <w:sz w:val="21"/>
          <w:szCs w:val="21"/>
          <w:lang w:val="en-US"/>
        </w:rPr>
      </w:pPr>
      <w:r>
        <w:rPr>
          <w:rFonts w:hint="eastAsia" w:ascii="宋体" w:hAnsi="宋体" w:eastAsia="宋体" w:cs="宋体"/>
          <w:b w:val="0"/>
          <w:bCs/>
          <w:color w:val="auto"/>
          <w:spacing w:val="11"/>
          <w:sz w:val="21"/>
          <w:szCs w:val="21"/>
          <w:lang w:val="en-US" w:eastAsia="zh-CN"/>
        </w:rPr>
        <w:t>图1-5</w:t>
      </w:r>
      <w:r>
        <w:rPr>
          <w:rFonts w:hint="eastAsia" w:ascii="宋体" w:hAnsi="宋体" w:eastAsia="宋体" w:cs="宋体"/>
          <w:b w:val="0"/>
          <w:bCs/>
          <w:color w:val="auto"/>
          <w:sz w:val="21"/>
          <w:szCs w:val="21"/>
          <w:shd w:val="clear" w:color="auto" w:fill="FFFFFF"/>
          <w:lang w:eastAsia="zh-CN"/>
        </w:rPr>
        <w:t>智慧宿管－</w:t>
      </w:r>
      <w:r>
        <w:rPr>
          <w:rFonts w:hint="eastAsia" w:ascii="宋体" w:hAnsi="宋体" w:eastAsia="宋体" w:cs="宋体"/>
          <w:b w:val="0"/>
          <w:bCs/>
          <w:color w:val="auto"/>
          <w:sz w:val="21"/>
          <w:szCs w:val="21"/>
          <w:shd w:val="clear" w:color="auto" w:fill="FFFFFF"/>
          <w:lang w:val="en-US" w:eastAsia="zh-CN"/>
        </w:rPr>
        <w:t>宿舍在线分配系统</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b w:val="0"/>
          <w:bCs/>
          <w:color w:val="auto"/>
          <w:sz w:val="21"/>
          <w:szCs w:val="21"/>
          <w:lang w:val="en-US" w:eastAsia="zh-CN"/>
        </w:rPr>
        <w:t>11</w:t>
      </w:r>
    </w:p>
    <w:p w14:paraId="411582AA">
      <w:pPr>
        <w:keepNext w:val="0"/>
        <w:keepLines w:val="0"/>
        <w:pageBreakBefore w:val="0"/>
        <w:widowControl w:val="0"/>
        <w:tabs>
          <w:tab w:val="left" w:pos="942"/>
        </w:tabs>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auto"/>
          <w:sz w:val="21"/>
          <w:szCs w:val="21"/>
          <w:lang w:val="en-US" w:eastAsia="zh-CN"/>
        </w:rPr>
      </w:pPr>
      <w:r>
        <w:rPr>
          <w:rFonts w:hint="eastAsia" w:ascii="宋体" w:hAnsi="宋体" w:eastAsia="宋体" w:cs="宋体"/>
          <w:b w:val="0"/>
          <w:bCs/>
          <w:color w:val="auto"/>
          <w:sz w:val="21"/>
          <w:szCs w:val="21"/>
          <w:lang w:val="en-US" w:eastAsia="zh-CN"/>
        </w:rPr>
        <w:t xml:space="preserve">图1-6 </w:t>
      </w:r>
      <w:r>
        <w:rPr>
          <w:rFonts w:hint="eastAsia" w:ascii="宋体" w:hAnsi="宋体" w:eastAsia="宋体" w:cs="宋体"/>
          <w:b w:val="0"/>
          <w:bCs/>
          <w:color w:val="auto"/>
          <w:kern w:val="2"/>
          <w:sz w:val="21"/>
          <w:szCs w:val="21"/>
          <w:lang w:val="en-US" w:eastAsia="zh-CN" w:bidi="ar-SA"/>
        </w:rPr>
        <w:t>智慧宿管－学生归寝考勤统计</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....................11</w:t>
      </w:r>
    </w:p>
    <w:p w14:paraId="12B0C50C">
      <w:pPr>
        <w:keepNext w:val="0"/>
        <w:keepLines w:val="0"/>
        <w:pageBreakBefore w:val="0"/>
        <w:widowControl w:val="0"/>
        <w:numPr>
          <w:ilvl w:val="0"/>
          <w:numId w:val="0"/>
        </w:numPr>
        <w:kinsoku/>
        <w:wordWrap/>
        <w:overflowPunct/>
        <w:topLinePunct w:val="0"/>
        <w:autoSpaceDE/>
        <w:autoSpaceDN/>
        <w:bidi w:val="0"/>
        <w:adjustRightInd/>
        <w:snapToGrid/>
        <w:spacing w:line="440" w:lineRule="exact"/>
        <w:jc w:val="distribute"/>
        <w:textAlignment w:val="auto"/>
        <w:rPr>
          <w:rFonts w:hint="eastAsia" w:ascii="宋体" w:hAnsi="宋体" w:eastAsia="宋体" w:cs="宋体"/>
          <w:b w:val="0"/>
          <w:bCs/>
          <w:color w:val="auto"/>
          <w:sz w:val="21"/>
          <w:szCs w:val="21"/>
        </w:rPr>
      </w:pPr>
      <w:r>
        <w:rPr>
          <w:rFonts w:hint="eastAsia" w:ascii="宋体" w:hAnsi="宋体" w:eastAsia="宋体" w:cs="宋体"/>
          <w:b w:val="0"/>
          <w:bCs/>
          <w:color w:val="auto"/>
          <w:spacing w:val="-5"/>
          <w:sz w:val="21"/>
          <w:szCs w:val="21"/>
        </w:rPr>
        <w:t>图</w:t>
      </w:r>
      <w:r>
        <w:rPr>
          <w:rFonts w:hint="eastAsia" w:ascii="宋体" w:hAnsi="宋体" w:eastAsia="宋体" w:cs="宋体"/>
          <w:b w:val="0"/>
          <w:bCs/>
          <w:color w:val="auto"/>
          <w:spacing w:val="-5"/>
          <w:sz w:val="21"/>
          <w:szCs w:val="21"/>
          <w:lang w:val="en-US" w:eastAsia="zh-CN"/>
        </w:rPr>
        <w:t xml:space="preserve">1-7 </w:t>
      </w:r>
      <w:r>
        <w:rPr>
          <w:rFonts w:hint="eastAsia" w:ascii="宋体" w:hAnsi="宋体" w:eastAsia="宋体" w:cs="宋体"/>
          <w:b w:val="0"/>
          <w:bCs/>
          <w:color w:val="auto"/>
          <w:spacing w:val="-5"/>
          <w:kern w:val="2"/>
          <w:sz w:val="21"/>
          <w:szCs w:val="21"/>
          <w:lang w:val="en-US" w:eastAsia="zh-CN" w:bidi="ar-SA"/>
        </w:rPr>
        <w:t>动物防疫员人才技能培训</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12</w:t>
      </w:r>
      <w:r>
        <w:rPr>
          <w:rFonts w:hint="eastAsia" w:ascii="宋体" w:hAnsi="宋体" w:eastAsia="宋体" w:cs="宋体"/>
          <w:b w:val="0"/>
          <w:bCs/>
          <w:color w:val="auto"/>
          <w:sz w:val="21"/>
          <w:szCs w:val="21"/>
        </w:rPr>
        <w:t xml:space="preserve">  </w:t>
      </w:r>
    </w:p>
    <w:p w14:paraId="4450DAB5">
      <w:pPr>
        <w:keepNext w:val="0"/>
        <w:keepLines w:val="0"/>
        <w:pageBreakBefore w:val="0"/>
        <w:widowControl w:val="0"/>
        <w:kinsoku/>
        <w:wordWrap/>
        <w:overflowPunct/>
        <w:topLinePunct w:val="0"/>
        <w:autoSpaceDE/>
        <w:autoSpaceDN/>
        <w:bidi w:val="0"/>
        <w:adjustRightInd/>
        <w:snapToGrid/>
        <w:spacing w:before="34" w:line="440" w:lineRule="exact"/>
        <w:jc w:val="left"/>
        <w:textAlignment w:val="auto"/>
        <w:rPr>
          <w:rFonts w:hint="default" w:ascii="宋体" w:hAnsi="宋体" w:eastAsia="宋体" w:cs="宋体"/>
          <w:b w:val="0"/>
          <w:bCs/>
          <w:color w:val="auto"/>
          <w:spacing w:val="-8"/>
          <w:sz w:val="21"/>
          <w:szCs w:val="21"/>
          <w:lang w:val="en-US" w:eastAsia="zh-CN"/>
        </w:rPr>
      </w:pPr>
      <w:r>
        <w:rPr>
          <w:rFonts w:hint="eastAsia" w:ascii="宋体" w:hAnsi="宋体" w:eastAsia="宋体" w:cs="宋体"/>
          <w:b w:val="0"/>
          <w:bCs/>
          <w:color w:val="auto"/>
          <w:spacing w:val="-8"/>
          <w:sz w:val="21"/>
          <w:szCs w:val="21"/>
        </w:rPr>
        <w:t>图</w:t>
      </w:r>
      <w:r>
        <w:rPr>
          <w:rFonts w:hint="eastAsia" w:ascii="宋体" w:hAnsi="宋体" w:eastAsia="宋体" w:cs="宋体"/>
          <w:b w:val="0"/>
          <w:bCs/>
          <w:color w:val="auto"/>
          <w:spacing w:val="-8"/>
          <w:sz w:val="21"/>
          <w:szCs w:val="21"/>
          <w:lang w:val="en-US" w:eastAsia="zh-CN"/>
        </w:rPr>
        <w:t xml:space="preserve">1-8 </w:t>
      </w:r>
      <w:r>
        <w:rPr>
          <w:rFonts w:hint="eastAsia" w:ascii="宋体" w:hAnsi="宋体" w:eastAsia="宋体" w:cs="宋体"/>
          <w:b w:val="0"/>
          <w:bCs/>
          <w:color w:val="auto"/>
          <w:spacing w:val="-8"/>
          <w:kern w:val="2"/>
          <w:sz w:val="21"/>
          <w:szCs w:val="21"/>
          <w:lang w:val="en-US" w:eastAsia="zh-CN" w:bidi="ar-SA"/>
        </w:rPr>
        <w:t>推拿按摩员人才技能培训</w:t>
      </w:r>
      <w:r>
        <w:rPr>
          <w:rFonts w:hint="eastAsia" w:ascii="宋体" w:hAnsi="宋体" w:eastAsia="宋体" w:cs="宋体"/>
          <w:b w:val="0"/>
          <w:bCs/>
          <w:color w:val="auto"/>
          <w:sz w:val="21"/>
          <w:szCs w:val="21"/>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auto"/>
          <w:sz w:val="21"/>
          <w:szCs w:val="21"/>
        </w:rPr>
        <w:t>.........................</w:t>
      </w:r>
      <w:r>
        <w:rPr>
          <w:rFonts w:hint="eastAsia" w:ascii="宋体" w:hAnsi="宋体" w:eastAsia="宋体" w:cs="宋体"/>
          <w:b w:val="0"/>
          <w:bCs/>
          <w:color w:val="auto"/>
          <w:sz w:val="21"/>
          <w:szCs w:val="21"/>
          <w:lang w:val="en-US" w:eastAsia="zh-CN"/>
        </w:rPr>
        <w:t>12</w:t>
      </w:r>
    </w:p>
    <w:p w14:paraId="7306D7A2">
      <w:pPr>
        <w:keepNext w:val="0"/>
        <w:keepLines w:val="0"/>
        <w:pageBreakBefore w:val="0"/>
        <w:kinsoku/>
        <w:wordWrap/>
        <w:overflowPunct/>
        <w:topLinePunct w:val="0"/>
        <w:autoSpaceDE/>
        <w:autoSpaceDN/>
        <w:bidi w:val="0"/>
        <w:adjustRightInd/>
        <w:snapToGrid/>
        <w:spacing w:line="440" w:lineRule="exact"/>
        <w:jc w:val="distribute"/>
        <w:textAlignment w:val="auto"/>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kern w:val="0"/>
          <w:sz w:val="24"/>
          <w:szCs w:val="24"/>
          <w:lang w:val="en-US" w:eastAsia="zh-CN" w:bidi="ar-SA"/>
          <w14:textFill>
            <w14:solidFill>
              <w14:schemeClr w14:val="tx1"/>
            </w14:solidFill>
          </w14:textFill>
        </w:rPr>
        <w:t>2.服务贡献</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13</w:t>
      </w:r>
    </w:p>
    <w:p w14:paraId="14AD2EFA">
      <w:pPr>
        <w:keepNext w:val="0"/>
        <w:keepLines w:val="0"/>
        <w:pageBreakBefore w:val="0"/>
        <w:kinsoku/>
        <w:wordWrap/>
        <w:overflowPunct/>
        <w:topLinePunct w:val="0"/>
        <w:autoSpaceDE/>
        <w:autoSpaceDN/>
        <w:bidi w:val="0"/>
        <w:adjustRightInd/>
        <w:snapToGrid/>
        <w:spacing w:before="34" w:line="440" w:lineRule="exact"/>
        <w:jc w:val="left"/>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shd w:val="clear" w:color="auto" w:fill="FFFFFF"/>
          <w:lang w:val="en-US" w:eastAsia="zh-CN"/>
          <w14:textFill>
            <w14:solidFill>
              <w14:schemeClr w14:val="tx1"/>
            </w14:solidFill>
          </w14:textFill>
        </w:rPr>
        <w:t>图2-1 面包烘焙技能培训</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16</w:t>
      </w:r>
    </w:p>
    <w:p w14:paraId="15A43034">
      <w:pPr>
        <w:pStyle w:val="54"/>
        <w:keepNext w:val="0"/>
        <w:keepLines w:val="0"/>
        <w:pageBreakBefore w:val="0"/>
        <w:widowControl/>
        <w:kinsoku/>
        <w:wordWrap/>
        <w:overflowPunct/>
        <w:topLinePunct w:val="0"/>
        <w:autoSpaceDE/>
        <w:autoSpaceDN/>
        <w:bidi w:val="0"/>
        <w:adjustRightInd/>
        <w:snapToGrid/>
        <w:spacing w:line="440" w:lineRule="exact"/>
        <w:jc w:val="left"/>
        <w:textAlignment w:val="auto"/>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图2-2 </w:t>
      </w:r>
      <w:r>
        <w:rPr>
          <w:rFonts w:hint="eastAsia" w:ascii="宋体" w:hAnsi="宋体" w:eastAsia="宋体" w:cs="宋体"/>
          <w:b w:val="0"/>
          <w:bCs/>
          <w:color w:val="000000" w:themeColor="text1"/>
          <w:kern w:val="2"/>
          <w:sz w:val="21"/>
          <w:szCs w:val="21"/>
          <w:shd w:val="clear" w:color="auto" w:fill="FFFFFF"/>
          <w:lang w:val="en-US" w:eastAsia="zh-CN" w:bidi="ar-SA"/>
          <w14:textFill>
            <w14:solidFill>
              <w14:schemeClr w14:val="tx1"/>
            </w14:solidFill>
          </w14:textFill>
        </w:rPr>
        <w:t>曲奇饼制作</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.17</w:t>
      </w:r>
    </w:p>
    <w:p w14:paraId="61D47029">
      <w:pPr>
        <w:pStyle w:val="54"/>
        <w:keepNext w:val="0"/>
        <w:keepLines w:val="0"/>
        <w:pageBreakBefore w:val="0"/>
        <w:widowControl/>
        <w:kinsoku/>
        <w:wordWrap/>
        <w:overflowPunct/>
        <w:topLinePunct w:val="0"/>
        <w:autoSpaceDE/>
        <w:autoSpaceDN/>
        <w:bidi w:val="0"/>
        <w:adjustRightInd/>
        <w:snapToGrid/>
        <w:spacing w:line="440" w:lineRule="exact"/>
        <w:jc w:val="left"/>
        <w:textAlignment w:val="auto"/>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图2-3 面包烘焙技能培训班合影留念....................................................17</w:t>
      </w:r>
    </w:p>
    <w:p w14:paraId="21817B8F">
      <w:pPr>
        <w:keepNext w:val="0"/>
        <w:keepLines w:val="0"/>
        <w:pageBreakBefore w:val="0"/>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000000" w:themeColor="text1"/>
          <w:sz w:val="21"/>
          <w:szCs w:val="21"/>
          <w:lang w:val="en-US"/>
          <w14:textFill>
            <w14:solidFill>
              <w14:schemeClr w14:val="tx1"/>
            </w14:solidFill>
          </w14:textFill>
        </w:rPr>
      </w:pPr>
      <w:r>
        <w:rPr>
          <w:rFonts w:hint="eastAsia" w:ascii="黑体" w:hAnsi="黑体" w:eastAsia="黑体" w:cs="黑体"/>
          <w:color w:val="000000" w:themeColor="text1"/>
          <w:kern w:val="0"/>
          <w:sz w:val="24"/>
          <w:szCs w:val="24"/>
          <w:lang w:val="en-US" w:eastAsia="zh-CN" w:bidi="ar-SA"/>
          <w14:textFill>
            <w14:solidFill>
              <w14:schemeClr w14:val="tx1"/>
            </w14:solidFill>
          </w14:textFill>
        </w:rPr>
        <w:t>3.文化传承</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18</w:t>
      </w:r>
    </w:p>
    <w:p w14:paraId="12115B92">
      <w:pPr>
        <w:keepNext w:val="0"/>
        <w:keepLines w:val="0"/>
        <w:pageBreakBefore w:val="0"/>
        <w:kinsoku/>
        <w:wordWrap/>
        <w:overflowPunct/>
        <w:topLinePunct w:val="0"/>
        <w:autoSpaceDE/>
        <w:autoSpaceDN/>
        <w:bidi w:val="0"/>
        <w:adjustRightInd/>
        <w:snapToGrid/>
        <w:spacing w:line="440" w:lineRule="exact"/>
        <w:jc w:val="distribute"/>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图3-1 读书汇报课</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21</w:t>
      </w:r>
    </w:p>
    <w:p w14:paraId="32B39D1F">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图3-2 读书课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.21</w:t>
      </w:r>
    </w:p>
    <w:p w14:paraId="22C7FFBA">
      <w:pPr>
        <w:keepNext w:val="0"/>
        <w:keepLines w:val="0"/>
        <w:pageBreakBefore w:val="0"/>
        <w:kinsoku/>
        <w:wordWrap/>
        <w:overflowPunct/>
        <w:topLinePunct w:val="0"/>
        <w:autoSpaceDE/>
        <w:autoSpaceDN/>
        <w:bidi w:val="0"/>
        <w:adjustRightInd/>
        <w:snapToGrid/>
        <w:spacing w:line="440" w:lineRule="exact"/>
        <w:jc w:val="left"/>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图3-3 “铸牢中华民族共同体意识”演讲比赛</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..22</w:t>
      </w:r>
    </w:p>
    <w:p w14:paraId="2DD49FB9">
      <w:pPr>
        <w:keepNext w:val="0"/>
        <w:keepLines w:val="0"/>
        <w:pageBreakBefore w:val="0"/>
        <w:kinsoku/>
        <w:wordWrap/>
        <w:overflowPunct/>
        <w:topLinePunct w:val="0"/>
        <w:autoSpaceDE/>
        <w:autoSpaceDN/>
        <w:bidi w:val="0"/>
        <w:adjustRightInd/>
        <w:snapToGrid/>
        <w:spacing w:line="440" w:lineRule="exact"/>
        <w:jc w:val="distribute"/>
        <w:rPr>
          <w:rFonts w:hint="default" w:ascii="宋体" w:hAnsi="宋体" w:eastAsia="宋体" w:cs="宋体"/>
          <w:b w:val="0"/>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color w:val="000000" w:themeColor="text1"/>
          <w:sz w:val="21"/>
          <w:szCs w:val="21"/>
          <w:lang w:eastAsia="zh-CN"/>
          <w14:textFill>
            <w14:solidFill>
              <w14:schemeClr w14:val="tx1"/>
            </w14:solidFill>
          </w14:textFill>
        </w:rPr>
        <w:t>图</w:t>
      </w:r>
      <w:r>
        <w:rPr>
          <w:rFonts w:hint="eastAsia" w:ascii="宋体" w:hAnsi="宋体" w:eastAsia="宋体" w:cs="宋体"/>
          <w:b w:val="0"/>
          <w:bCs/>
          <w:color w:val="000000" w:themeColor="text1"/>
          <w:kern w:val="2"/>
          <w:sz w:val="21"/>
          <w:szCs w:val="21"/>
          <w:lang w:val="en-US" w:eastAsia="zh-CN" w:bidi="ar-SA"/>
          <w14:textFill>
            <w14:solidFill>
              <w14:schemeClr w14:val="tx1"/>
            </w14:solidFill>
          </w14:textFill>
        </w:rPr>
        <w:t>3-4 主题班会 ............................................................</w:t>
      </w:r>
      <w:r>
        <w:rPr>
          <w:rFonts w:hint="eastAsia" w:ascii="宋体" w:hAnsi="宋体" w:eastAsia="宋体" w:cs="宋体"/>
          <w:b w:val="0"/>
          <w:bCs/>
          <w:color w:val="000000" w:themeColor="text1"/>
          <w:sz w:val="21"/>
          <w:szCs w:val="21"/>
          <w:lang w:val="en-US" w:eastAsia="zh-CN"/>
          <w14:textFill>
            <w14:solidFill>
              <w14:schemeClr w14:val="tx1"/>
            </w14:solidFill>
          </w14:textFill>
        </w:rPr>
        <w:t>22</w:t>
      </w:r>
    </w:p>
    <w:p w14:paraId="3738256E">
      <w:pPr>
        <w:keepNext w:val="0"/>
        <w:keepLines w:val="0"/>
        <w:pageBreakBefore w:val="0"/>
        <w:kinsoku/>
        <w:wordWrap/>
        <w:overflowPunct/>
        <w:topLinePunct w:val="0"/>
        <w:autoSpaceDE/>
        <w:autoSpaceDN/>
        <w:bidi w:val="0"/>
        <w:adjustRightInd/>
        <w:snapToGrid/>
        <w:spacing w:line="440" w:lineRule="exact"/>
        <w:jc w:val="left"/>
        <w:rPr>
          <w:rFonts w:hint="default" w:ascii="宋体" w:hAnsi="宋体" w:eastAsia="宋体" w:cs="宋体"/>
          <w:b w:val="0"/>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color w:val="000000" w:themeColor="text1"/>
          <w:kern w:val="2"/>
          <w:sz w:val="21"/>
          <w:szCs w:val="21"/>
          <w:lang w:val="en-US" w:eastAsia="zh-CN" w:bidi="ar-SA"/>
          <w14:textFill>
            <w14:solidFill>
              <w14:schemeClr w14:val="tx1"/>
            </w14:solidFill>
          </w14:textFill>
        </w:rPr>
        <w:t>图3-5 团前教育研学实践活动..........................................................23</w:t>
      </w:r>
    </w:p>
    <w:p w14:paraId="25351D33">
      <w:pPr>
        <w:keepNext w:val="0"/>
        <w:keepLines w:val="0"/>
        <w:pageBreakBefore w:val="0"/>
        <w:kinsoku/>
        <w:wordWrap/>
        <w:overflowPunct/>
        <w:topLinePunct w:val="0"/>
        <w:autoSpaceDE/>
        <w:autoSpaceDN/>
        <w:bidi w:val="0"/>
        <w:adjustRightInd/>
        <w:snapToGrid/>
        <w:spacing w:line="440" w:lineRule="exact"/>
        <w:jc w:val="left"/>
        <w:rPr>
          <w:rFonts w:hint="default" w:ascii="宋体" w:hAnsi="宋体" w:eastAsia="宋体" w:cs="宋体"/>
          <w:b w:val="0"/>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color w:val="000000" w:themeColor="text1"/>
          <w:kern w:val="2"/>
          <w:sz w:val="21"/>
          <w:szCs w:val="21"/>
          <w:lang w:val="en-US" w:eastAsia="zh-CN" w:bidi="ar-SA"/>
          <w14:textFill>
            <w14:solidFill>
              <w14:schemeClr w14:val="tx1"/>
            </w14:solidFill>
          </w14:textFill>
        </w:rPr>
        <w:t>图3-6 校长讲党课....................................................................24</w:t>
      </w:r>
    </w:p>
    <w:p w14:paraId="0498C663">
      <w:pPr>
        <w:pageBreakBefore w:val="0"/>
        <w:tabs>
          <w:tab w:val="left" w:pos="2308"/>
        </w:tabs>
        <w:overflowPunct/>
        <w:topLinePunct w:val="0"/>
        <w:bidi w:val="0"/>
        <w:spacing w:line="520" w:lineRule="exact"/>
        <w:jc w:val="left"/>
        <w:rPr>
          <w:rFonts w:hint="default" w:ascii="宋体" w:hAnsi="宋体" w:eastAsia="宋体" w:cs="宋体"/>
          <w:b w:val="0"/>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color w:val="000000" w:themeColor="text1"/>
          <w:kern w:val="2"/>
          <w:sz w:val="21"/>
          <w:szCs w:val="21"/>
          <w:lang w:val="en-US" w:eastAsia="zh-CN" w:bidi="ar-SA"/>
          <w14:textFill>
            <w14:solidFill>
              <w14:schemeClr w14:val="tx1"/>
            </w14:solidFill>
          </w14:textFill>
        </w:rPr>
        <w:t>图3-7 党建思政教育实践..............................................................24</w:t>
      </w:r>
    </w:p>
    <w:p w14:paraId="44803A47">
      <w:pPr>
        <w:keepNext w:val="0"/>
        <w:keepLines w:val="0"/>
        <w:pageBreakBefore w:val="0"/>
        <w:numPr>
          <w:ilvl w:val="0"/>
          <w:numId w:val="0"/>
        </w:numPr>
        <w:kinsoku/>
        <w:wordWrap/>
        <w:overflowPunct/>
        <w:topLinePunct w:val="0"/>
        <w:autoSpaceDE/>
        <w:autoSpaceDN/>
        <w:bidi w:val="0"/>
        <w:snapToGrid/>
        <w:spacing w:line="440" w:lineRule="exact"/>
        <w:jc w:val="distribute"/>
        <w:textAlignment w:val="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kern w:val="0"/>
          <w:sz w:val="24"/>
          <w:szCs w:val="24"/>
          <w:lang w:val="en-US" w:eastAsia="zh-CN" w:bidi="ar-SA"/>
          <w14:textFill>
            <w14:solidFill>
              <w14:schemeClr w14:val="tx1"/>
            </w14:solidFill>
          </w14:textFill>
        </w:rPr>
        <w:t>4.国际合作（未开展）</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24</w:t>
      </w:r>
    </w:p>
    <w:p w14:paraId="3B2F35D8">
      <w:pPr>
        <w:keepNext w:val="0"/>
        <w:keepLines w:val="0"/>
        <w:pageBreakBefore w:val="0"/>
        <w:numPr>
          <w:ilvl w:val="0"/>
          <w:numId w:val="0"/>
        </w:numPr>
        <w:kinsoku/>
        <w:wordWrap/>
        <w:overflowPunct/>
        <w:topLinePunct w:val="0"/>
        <w:autoSpaceDE/>
        <w:autoSpaceDN/>
        <w:bidi w:val="0"/>
        <w:snapToGrid/>
        <w:spacing w:line="440" w:lineRule="exact"/>
        <w:jc w:val="distribute"/>
        <w:textAlignment w:val="auto"/>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kern w:val="0"/>
          <w:sz w:val="24"/>
          <w:szCs w:val="24"/>
          <w:lang w:val="en-US" w:eastAsia="zh-CN" w:bidi="ar-SA"/>
          <w14:textFill>
            <w14:solidFill>
              <w14:schemeClr w14:val="tx1"/>
            </w14:solidFill>
          </w14:textFill>
        </w:rPr>
        <w:t>5.产教融合</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26</w:t>
      </w:r>
    </w:p>
    <w:p w14:paraId="7DCFF101">
      <w:pPr>
        <w:keepNext w:val="0"/>
        <w:keepLines w:val="0"/>
        <w:pageBreakBefore w:val="0"/>
        <w:kinsoku/>
        <w:wordWrap/>
        <w:overflowPunct/>
        <w:topLinePunct w:val="0"/>
        <w:autoSpaceDE/>
        <w:autoSpaceDN/>
        <w:bidi w:val="0"/>
        <w:adjustRightInd/>
        <w:snapToGrid/>
        <w:spacing w:line="440" w:lineRule="exact"/>
        <w:jc w:val="distribute"/>
        <w:textAlignment w:val="baseline"/>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图5-1 校企共同研发“芪贝勒”品牌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auto"/>
          <w:sz w:val="21"/>
          <w:szCs w:val="21"/>
          <w:lang w:val="en-US" w:eastAsia="zh-CN"/>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31</w:t>
      </w:r>
    </w:p>
    <w:p w14:paraId="6B172318">
      <w:pPr>
        <w:keepNext w:val="0"/>
        <w:keepLines w:val="0"/>
        <w:pageBreakBefore w:val="0"/>
        <w:kinsoku/>
        <w:wordWrap/>
        <w:overflowPunct/>
        <w:topLinePunct w:val="0"/>
        <w:autoSpaceDE/>
        <w:autoSpaceDN/>
        <w:bidi w:val="0"/>
        <w:adjustRightInd/>
        <w:snapToGrid/>
        <w:spacing w:line="440" w:lineRule="exact"/>
        <w:jc w:val="left"/>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 xml:space="preserve">图5-2 产教融合一体化教学 </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32图5-3 产教融合之学生实操</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33</w:t>
      </w:r>
    </w:p>
    <w:p w14:paraId="24C576DF">
      <w:pPr>
        <w:keepNext w:val="0"/>
        <w:keepLines w:val="0"/>
        <w:pageBreakBefore w:val="0"/>
        <w:numPr>
          <w:ilvl w:val="0"/>
          <w:numId w:val="0"/>
        </w:numPr>
        <w:kinsoku/>
        <w:wordWrap/>
        <w:overflowPunct/>
        <w:topLinePunct w:val="0"/>
        <w:autoSpaceDE/>
        <w:autoSpaceDN/>
        <w:bidi w:val="0"/>
        <w:snapToGrid/>
        <w:spacing w:line="440" w:lineRule="exact"/>
        <w:ind w:leftChars="0"/>
        <w:jc w:val="distribute"/>
        <w:textAlignment w:val="auto"/>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kern w:val="0"/>
          <w:sz w:val="24"/>
          <w:szCs w:val="24"/>
          <w:lang w:val="en-US" w:eastAsia="zh-CN" w:bidi="ar-SA"/>
          <w14:textFill>
            <w14:solidFill>
              <w14:schemeClr w14:val="tx1"/>
            </w14:solidFill>
          </w14:textFill>
        </w:rPr>
        <w:t>6.发展保障</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33</w:t>
      </w:r>
    </w:p>
    <w:p w14:paraId="1AD896CC">
      <w:pPr>
        <w:keepNext w:val="0"/>
        <w:keepLines w:val="0"/>
        <w:pageBreakBefore w:val="0"/>
        <w:numPr>
          <w:ilvl w:val="0"/>
          <w:numId w:val="0"/>
        </w:numPr>
        <w:kinsoku/>
        <w:wordWrap/>
        <w:overflowPunct/>
        <w:topLinePunct w:val="0"/>
        <w:autoSpaceDE/>
        <w:autoSpaceDN/>
        <w:bidi w:val="0"/>
        <w:snapToGrid/>
        <w:spacing w:line="440" w:lineRule="exact"/>
        <w:ind w:leftChars="0"/>
        <w:jc w:val="distribute"/>
        <w:textAlignment w:val="auto"/>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黑体" w:hAnsi="黑体" w:eastAsia="黑体" w:cs="黑体"/>
          <w:color w:val="000000" w:themeColor="text1"/>
          <w:kern w:val="0"/>
          <w:sz w:val="24"/>
          <w:szCs w:val="24"/>
          <w:lang w:val="en-US" w:eastAsia="zh-CN" w:bidi="ar-SA"/>
          <w14:textFill>
            <w14:solidFill>
              <w14:schemeClr w14:val="tx1"/>
            </w14:solidFill>
          </w14:textFill>
        </w:rPr>
        <w:t>7.面临挑战</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14:textFill>
            <w14:solidFill>
              <w14:schemeClr w14:val="tx1"/>
            </w14:solidFill>
          </w14:textFill>
        </w:rPr>
        <w:t>..</w:t>
      </w:r>
      <w:r>
        <w:rPr>
          <w:rFonts w:hint="eastAsia" w:ascii="宋体" w:hAnsi="宋体" w:eastAsia="宋体" w:cs="宋体"/>
          <w:b w:val="0"/>
          <w:bCs/>
          <w:color w:val="000000" w:themeColor="text1"/>
          <w:sz w:val="21"/>
          <w:szCs w:val="21"/>
          <w:lang w:val="en-US" w:eastAsia="zh-CN"/>
          <w14:textFill>
            <w14:solidFill>
              <w14:schemeClr w14:val="tx1"/>
            </w14:solidFill>
          </w14:textFill>
        </w:rPr>
        <w:t>38</w:t>
      </w:r>
    </w:p>
    <w:p w14:paraId="54AB1087">
      <w:pPr>
        <w:pageBreakBefore w:val="0"/>
        <w:overflowPunct/>
        <w:topLinePunct w:val="0"/>
        <w:bidi w:val="0"/>
        <w:spacing w:line="440" w:lineRule="exact"/>
        <w:jc w:val="center"/>
        <w:rPr>
          <w:rFonts w:hint="eastAsia" w:ascii="黑体" w:hAnsi="黑体" w:eastAsia="黑体" w:cs="黑体"/>
          <w:color w:val="000000" w:themeColor="text1"/>
          <w:sz w:val="32"/>
          <w:szCs w:val="32"/>
          <w:lang w:eastAsia="zh-CN"/>
          <w14:textFill>
            <w14:solidFill>
              <w14:schemeClr w14:val="tx1"/>
            </w14:solidFill>
          </w14:textFill>
        </w:rPr>
      </w:pPr>
    </w:p>
    <w:p w14:paraId="3B670609">
      <w:pPr>
        <w:pageBreakBefore w:val="0"/>
        <w:overflowPunct/>
        <w:topLinePunct w:val="0"/>
        <w:bidi w:val="0"/>
        <w:spacing w:line="440" w:lineRule="exact"/>
        <w:jc w:val="center"/>
        <w:rPr>
          <w:rFonts w:ascii="黑体" w:hAnsi="黑体" w:eastAsia="黑体" w:cs="黑体"/>
          <w:color w:val="000000" w:themeColor="text1"/>
          <w:sz w:val="32"/>
          <w:szCs w:val="32"/>
          <w14:textFill>
            <w14:solidFill>
              <w14:schemeClr w14:val="tx1"/>
            </w14:solidFill>
          </w14:textFill>
        </w:rPr>
      </w:pPr>
      <w:r>
        <w:rPr>
          <w:rFonts w:hint="eastAsia" w:ascii="黑体" w:hAnsi="黑体" w:eastAsia="黑体" w:cs="黑体"/>
          <w:color w:val="000000" w:themeColor="text1"/>
          <w:sz w:val="32"/>
          <w:szCs w:val="32"/>
          <w:lang w:eastAsia="zh-CN"/>
          <w14:textFill>
            <w14:solidFill>
              <w14:schemeClr w14:val="tx1"/>
            </w14:solidFill>
          </w14:textFill>
        </w:rPr>
        <w:t>案</w:t>
      </w:r>
      <w:r>
        <w:rPr>
          <w:rFonts w:hint="eastAsia" w:ascii="黑体" w:hAnsi="黑体" w:eastAsia="黑体" w:cs="黑体"/>
          <w:color w:val="000000" w:themeColor="text1"/>
          <w:sz w:val="32"/>
          <w:szCs w:val="32"/>
          <w:lang w:val="en-US" w:eastAsia="zh-CN"/>
          <w14:textFill>
            <w14:solidFill>
              <w14:schemeClr w14:val="tx1"/>
            </w14:solidFill>
          </w14:textFill>
        </w:rPr>
        <w:t xml:space="preserve"> </w:t>
      </w:r>
      <w:r>
        <w:rPr>
          <w:rFonts w:hint="eastAsia" w:ascii="黑体" w:hAnsi="黑体" w:eastAsia="黑体" w:cs="黑体"/>
          <w:color w:val="000000" w:themeColor="text1"/>
          <w:sz w:val="32"/>
          <w:szCs w:val="32"/>
          <w:lang w:eastAsia="zh-CN"/>
          <w14:textFill>
            <w14:solidFill>
              <w14:schemeClr w14:val="tx1"/>
            </w14:solidFill>
          </w14:textFill>
        </w:rPr>
        <w:t>例</w:t>
      </w:r>
      <w:r>
        <w:rPr>
          <w:rFonts w:hint="eastAsia" w:ascii="黑体" w:hAnsi="黑体" w:eastAsia="黑体" w:cs="黑体"/>
          <w:color w:val="000000" w:themeColor="text1"/>
          <w:sz w:val="32"/>
          <w:szCs w:val="32"/>
          <w:lang w:val="en-US" w:eastAsia="zh-CN"/>
          <w14:textFill>
            <w14:solidFill>
              <w14:schemeClr w14:val="tx1"/>
            </w14:solidFill>
          </w14:textFill>
        </w:rPr>
        <w:t xml:space="preserve"> </w:t>
      </w:r>
      <w:r>
        <w:rPr>
          <w:rFonts w:hint="eastAsia" w:ascii="黑体" w:hAnsi="黑体" w:eastAsia="黑体" w:cs="黑体"/>
          <w:color w:val="000000" w:themeColor="text1"/>
          <w:sz w:val="32"/>
          <w:szCs w:val="32"/>
          <w14:textFill>
            <w14:solidFill>
              <w14:schemeClr w14:val="tx1"/>
            </w14:solidFill>
          </w14:textFill>
        </w:rPr>
        <w:t>目 录</w:t>
      </w:r>
    </w:p>
    <w:p w14:paraId="5AA9DED9">
      <w:pPr>
        <w:pageBreakBefore w:val="0"/>
        <w:overflowPunct/>
        <w:topLinePunct w:val="0"/>
        <w:bidi w:val="0"/>
        <w:spacing w:line="440" w:lineRule="exact"/>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黑体"/>
          <w:b w:val="0"/>
          <w:bCs w:val="0"/>
          <w:color w:val="000000" w:themeColor="text1"/>
          <w:sz w:val="21"/>
          <w:szCs w:val="21"/>
          <w:lang w:val="en-US" w:eastAsia="zh-CN"/>
          <w14:textFill>
            <w14:solidFill>
              <w14:schemeClr w14:val="tx1"/>
            </w14:solidFill>
          </w14:textFill>
        </w:rPr>
        <w:t>案例1-1 双优引领的职教标杆</w:t>
      </w:r>
      <w:r>
        <w:rPr>
          <w:rFonts w:hint="eastAsia" w:ascii="宋体" w:hAnsi="宋体" w:eastAsia="宋体" w:cs="黑体"/>
          <w:color w:val="000000" w:themeColor="text1"/>
          <w:sz w:val="21"/>
          <w:szCs w:val="21"/>
          <w:lang w:val="en-US" w:eastAsia="zh-CN"/>
          <w14:textFill>
            <w14:solidFill>
              <w14:schemeClr w14:val="tx1"/>
            </w14:solidFill>
          </w14:textFill>
        </w:rPr>
        <w:t>......</w:t>
      </w:r>
      <w:r>
        <w:rPr>
          <w:rFonts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黑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7</w:t>
      </w:r>
      <w:r>
        <w:rPr>
          <w:rFonts w:hint="eastAsia" w:ascii="宋体" w:hAnsi="宋体" w:eastAsia="宋体" w:cs="黑体"/>
          <w:b w:val="0"/>
          <w:bCs w:val="0"/>
          <w:color w:val="000000" w:themeColor="text1"/>
          <w:sz w:val="21"/>
          <w:szCs w:val="21"/>
          <w:lang w:val="en-US" w:eastAsia="zh-CN"/>
          <w14:textFill>
            <w14:solidFill>
              <w14:schemeClr w14:val="tx1"/>
            </w14:solidFill>
          </w14:textFill>
        </w:rPr>
        <w:t>案例1-2 实践赋能成长·知行铸魂育人</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9</w:t>
      </w:r>
    </w:p>
    <w:p w14:paraId="707C272C">
      <w:pPr>
        <w:pageBreakBefore w:val="0"/>
        <w:overflowPunct/>
        <w:topLinePunct w:val="0"/>
        <w:bidi w:val="0"/>
        <w:spacing w:line="440" w:lineRule="exact"/>
        <w:jc w:val="left"/>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黑体"/>
          <w:b w:val="0"/>
          <w:bCs w:val="0"/>
          <w:color w:val="000000" w:themeColor="text1"/>
          <w:sz w:val="21"/>
          <w:szCs w:val="21"/>
          <w:lang w:val="en-US" w:eastAsia="zh-CN"/>
          <w14:textFill>
            <w14:solidFill>
              <w14:schemeClr w14:val="tx1"/>
            </w14:solidFill>
          </w14:textFill>
        </w:rPr>
        <w:t>案例1-3 技能成果筑专业，赛教融合育匠才</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9</w:t>
      </w:r>
    </w:p>
    <w:p w14:paraId="1DBEDD48">
      <w:pPr>
        <w:pageBreakBefore w:val="0"/>
        <w:overflowPunct/>
        <w:topLinePunct w:val="0"/>
        <w:bidi w:val="0"/>
        <w:spacing w:line="440" w:lineRule="exact"/>
        <w:jc w:val="left"/>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黑体"/>
          <w:b w:val="0"/>
          <w:bCs w:val="0"/>
          <w:color w:val="000000" w:themeColor="text1"/>
          <w:sz w:val="21"/>
          <w:szCs w:val="21"/>
          <w:lang w:val="en-US" w:eastAsia="zh-CN"/>
          <w14:textFill>
            <w14:solidFill>
              <w14:schemeClr w14:val="tx1"/>
            </w14:solidFill>
          </w14:textFill>
        </w:rPr>
        <w:t xml:space="preserve">案例1-4 智慧宿管AI赋能安全精准管理 </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lang w:val="en-US" w:eastAsia="zh-CN"/>
          <w14:textFill>
            <w14:solidFill>
              <w14:schemeClr w14:val="tx1"/>
            </w14:solidFill>
          </w14:textFill>
        </w:rPr>
        <w:t>...........</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lang w:val="en-US" w:eastAsia="zh-CN"/>
          <w14:textFill>
            <w14:solidFill>
              <w14:schemeClr w14:val="tx1"/>
            </w14:solidFill>
          </w14:textFill>
        </w:rPr>
        <w:t>.10</w:t>
      </w:r>
    </w:p>
    <w:p w14:paraId="1158F1CC">
      <w:pPr>
        <w:pageBreakBefore w:val="0"/>
        <w:overflowPunct/>
        <w:topLinePunct w:val="0"/>
        <w:bidi w:val="0"/>
        <w:spacing w:line="440" w:lineRule="exact"/>
        <w:jc w:val="left"/>
        <w:rPr>
          <w:rFonts w:hint="default" w:ascii="宋体" w:hAnsi="宋体" w:eastAsia="宋体" w:cs="黑体"/>
          <w:b w:val="0"/>
          <w:bCs w:val="0"/>
          <w:color w:val="000000" w:themeColor="text1"/>
          <w:sz w:val="21"/>
          <w:szCs w:val="21"/>
          <w:lang w:val="en-US" w:eastAsia="zh-CN"/>
          <w14:textFill>
            <w14:solidFill>
              <w14:schemeClr w14:val="tx1"/>
            </w14:solidFill>
          </w14:textFill>
        </w:rPr>
      </w:pPr>
      <w:r>
        <w:rPr>
          <w:rFonts w:hint="eastAsia" w:ascii="宋体" w:hAnsi="宋体" w:eastAsia="宋体" w:cs="黑体"/>
          <w:b w:val="0"/>
          <w:bCs w:val="0"/>
          <w:color w:val="000000" w:themeColor="text1"/>
          <w:sz w:val="21"/>
          <w:szCs w:val="21"/>
          <w:lang w:val="en-US" w:eastAsia="zh-CN"/>
          <w14:textFill>
            <w14:solidFill>
              <w14:schemeClr w14:val="tx1"/>
            </w14:solidFill>
          </w14:textFill>
        </w:rPr>
        <w:t>案例1-5 精准赋能强技能 特色人才培育筑根基...........................................11</w:t>
      </w:r>
    </w:p>
    <w:p w14:paraId="007B4557">
      <w:pPr>
        <w:pageBreakBefore w:val="0"/>
        <w:overflowPunct/>
        <w:topLinePunct w:val="0"/>
        <w:bidi w:val="0"/>
        <w:spacing w:line="440" w:lineRule="exact"/>
        <w:jc w:val="left"/>
        <w:rPr>
          <w:rFonts w:hint="eastAsia" w:ascii="宋体" w:hAnsi="宋体" w:eastAsia="宋体" w:cs="黑体"/>
          <w:b w:val="0"/>
          <w:bCs w:val="0"/>
          <w:color w:val="FF0000"/>
          <w:sz w:val="21"/>
          <w:szCs w:val="21"/>
          <w:lang w:val="en-US" w:eastAsia="zh-CN"/>
        </w:rPr>
      </w:pPr>
      <w:r>
        <w:rPr>
          <w:rFonts w:hint="eastAsia" w:ascii="宋体" w:hAnsi="宋体" w:eastAsia="宋体" w:cs="黑体"/>
          <w:b w:val="0"/>
          <w:bCs w:val="0"/>
          <w:color w:val="000000" w:themeColor="text1"/>
          <w:sz w:val="21"/>
          <w:szCs w:val="21"/>
          <w:lang w:val="en-US" w:eastAsia="zh-CN"/>
          <w14:textFill>
            <w14:solidFill>
              <w14:schemeClr w14:val="tx1"/>
            </w14:solidFill>
          </w14:textFill>
        </w:rPr>
        <w:t>案例2-1 面包烘焙技能培训，助力群众就业创业..........................................16</w:t>
      </w:r>
    </w:p>
    <w:p w14:paraId="744EF9DE">
      <w:pPr>
        <w:pageBreakBefore w:val="0"/>
        <w:overflowPunct/>
        <w:topLinePunct w:val="0"/>
        <w:bidi w:val="0"/>
        <w:spacing w:line="440" w:lineRule="exact"/>
        <w:jc w:val="left"/>
        <w:rPr>
          <w:rFonts w:ascii="宋体" w:hAnsi="宋体" w:eastAsia="宋体" w:cs="宋体"/>
          <w:color w:val="000000" w:themeColor="text1"/>
          <w:sz w:val="21"/>
          <w:szCs w:val="21"/>
          <w14:textFill>
            <w14:solidFill>
              <w14:schemeClr w14:val="tx1"/>
            </w14:solidFill>
          </w14:textFill>
        </w:rPr>
      </w:pPr>
      <w:r>
        <w:rPr>
          <w:rFonts w:hint="eastAsia" w:ascii="宋体" w:hAnsi="宋体" w:eastAsia="宋体" w:cs="黑体"/>
          <w:b w:val="0"/>
          <w:bCs w:val="0"/>
          <w:color w:val="000000" w:themeColor="text1"/>
          <w:sz w:val="21"/>
          <w:szCs w:val="21"/>
          <w:lang w:val="en-US" w:eastAsia="zh-CN"/>
          <w14:textFill>
            <w14:solidFill>
              <w14:schemeClr w14:val="tx1"/>
            </w14:solidFill>
          </w14:textFill>
        </w:rPr>
        <w:t>案例3-1 书香润心田，阅读促成长</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20</w:t>
      </w:r>
      <w:r>
        <w:rPr>
          <w:rFonts w:ascii="宋体" w:hAnsi="宋体" w:eastAsia="宋体" w:cs="宋体"/>
          <w:color w:val="000000" w:themeColor="text1"/>
          <w:sz w:val="21"/>
          <w:szCs w:val="21"/>
          <w14:textFill>
            <w14:solidFill>
              <w14:schemeClr w14:val="tx1"/>
            </w14:solidFill>
          </w14:textFill>
        </w:rPr>
        <w:t xml:space="preserve"> </w:t>
      </w:r>
    </w:p>
    <w:p w14:paraId="75893E3D">
      <w:pPr>
        <w:pageBreakBefore w:val="0"/>
        <w:overflowPunct/>
        <w:topLinePunct w:val="0"/>
        <w:bidi w:val="0"/>
        <w:spacing w:line="440" w:lineRule="exact"/>
        <w:jc w:val="left"/>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黑体"/>
          <w:b w:val="0"/>
          <w:bCs w:val="0"/>
          <w:color w:val="000000" w:themeColor="text1"/>
          <w:sz w:val="21"/>
          <w:szCs w:val="21"/>
          <w:lang w:val="en-US" w:eastAsia="zh-CN"/>
          <w14:textFill>
            <w14:solidFill>
              <w14:schemeClr w14:val="tx1"/>
            </w14:solidFill>
          </w14:textFill>
        </w:rPr>
        <w:t>案例3-2 以多元活动，绘就民族团结“同心圆”</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.....21</w:t>
      </w:r>
    </w:p>
    <w:p w14:paraId="63F8E1BC">
      <w:pPr>
        <w:pageBreakBefore w:val="0"/>
        <w:overflowPunct/>
        <w:topLinePunct w:val="0"/>
        <w:bidi w:val="0"/>
        <w:spacing w:line="440" w:lineRule="exact"/>
        <w:jc w:val="left"/>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黑体"/>
          <w:b w:val="0"/>
          <w:bCs w:val="0"/>
          <w:color w:val="000000" w:themeColor="text1"/>
          <w:sz w:val="21"/>
          <w:szCs w:val="21"/>
          <w:lang w:val="en-US" w:eastAsia="zh-CN"/>
          <w14:textFill>
            <w14:solidFill>
              <w14:schemeClr w14:val="tx1"/>
            </w14:solidFill>
          </w14:textFill>
        </w:rPr>
        <w:t>案例3-3 文旅融合润乡土·文化铸魂育新人</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....22</w:t>
      </w:r>
    </w:p>
    <w:p w14:paraId="60A02921">
      <w:pPr>
        <w:pageBreakBefore w:val="0"/>
        <w:overflowPunct/>
        <w:topLinePunct w:val="0"/>
        <w:bidi w:val="0"/>
        <w:spacing w:line="440" w:lineRule="exact"/>
        <w:jc w:val="left"/>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黑体"/>
          <w:b w:val="0"/>
          <w:bCs w:val="0"/>
          <w:color w:val="000000" w:themeColor="text1"/>
          <w:sz w:val="21"/>
          <w:szCs w:val="21"/>
          <w:lang w:val="en-US" w:eastAsia="zh-CN"/>
          <w14:textFill>
            <w14:solidFill>
              <w14:schemeClr w14:val="tx1"/>
            </w14:solidFill>
          </w14:textFill>
        </w:rPr>
        <w:t>案例3-4重温红色记忆 践行育人使命</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lang w:val="en-US" w:eastAsia="zh-CN"/>
          <w14:textFill>
            <w14:solidFill>
              <w14:schemeClr w14:val="tx1"/>
            </w14:solidFill>
          </w14:textFill>
        </w:rPr>
        <w:t>......................................</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lang w:val="en-US" w:eastAsia="zh-CN"/>
          <w14:textFill>
            <w14:solidFill>
              <w14:schemeClr w14:val="tx1"/>
            </w14:solidFill>
          </w14:textFill>
        </w:rPr>
        <w:t>23</w:t>
      </w:r>
      <w:r>
        <w:rPr>
          <w:rFonts w:hint="eastAsia" w:ascii="宋体" w:hAnsi="宋体" w:eastAsia="宋体" w:cs="黑体"/>
          <w:b w:val="0"/>
          <w:bCs w:val="0"/>
          <w:color w:val="000000" w:themeColor="text1"/>
          <w:sz w:val="21"/>
          <w:szCs w:val="21"/>
          <w:lang w:val="en-US" w:eastAsia="zh-CN"/>
          <w14:textFill>
            <w14:solidFill>
              <w14:schemeClr w14:val="tx1"/>
            </w14:solidFill>
          </w14:textFill>
        </w:rPr>
        <w:t>案例5-1 深化产教融合，创新育人范式</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lang w:val="en-US" w:eastAsia="zh-CN"/>
          <w14:textFill>
            <w14:solidFill>
              <w14:schemeClr w14:val="tx1"/>
            </w14:solidFill>
          </w14:textFill>
        </w:rPr>
        <w:t>.........</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lang w:val="en-US" w:eastAsia="zh-CN"/>
          <w14:textFill>
            <w14:solidFill>
              <w14:schemeClr w14:val="tx1"/>
            </w14:solidFill>
          </w14:textFill>
        </w:rPr>
        <w:t>.........</w:t>
      </w:r>
      <w:r>
        <w:rPr>
          <w:rFonts w:hint="eastAsia" w:ascii="宋体" w:hAnsi="宋体" w:eastAsia="宋体" w:cs="黑体"/>
          <w:color w:val="000000" w:themeColor="text1"/>
          <w:sz w:val="21"/>
          <w:szCs w:val="21"/>
          <w14:textFill>
            <w14:solidFill>
              <w14:schemeClr w14:val="tx1"/>
            </w14:solidFill>
          </w14:textFill>
        </w:rPr>
        <w:t>.......</w:t>
      </w:r>
      <w:r>
        <w:rPr>
          <w:rFonts w:hint="eastAsia" w:ascii="宋体" w:hAnsi="宋体" w:eastAsia="宋体" w:cs="黑体"/>
          <w:color w:val="000000" w:themeColor="text1"/>
          <w:sz w:val="21"/>
          <w:szCs w:val="21"/>
          <w:lang w:val="en-US" w:eastAsia="zh-CN"/>
          <w14:textFill>
            <w14:solidFill>
              <w14:schemeClr w14:val="tx1"/>
            </w14:solidFill>
          </w14:textFill>
        </w:rPr>
        <w:t>...31</w:t>
      </w:r>
    </w:p>
    <w:p w14:paraId="67D23CA3">
      <w:pPr>
        <w:pageBreakBefore w:val="0"/>
        <w:overflowPunct/>
        <w:topLinePunct w:val="0"/>
        <w:bidi w:val="0"/>
        <w:spacing w:line="440" w:lineRule="exact"/>
        <w:jc w:val="left"/>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黑体"/>
          <w:b w:val="0"/>
          <w:bCs w:val="0"/>
          <w:color w:val="000000" w:themeColor="text1"/>
          <w:sz w:val="21"/>
          <w:szCs w:val="21"/>
          <w:lang w:val="en-US" w:eastAsia="zh-CN"/>
          <w14:textFill>
            <w14:solidFill>
              <w14:schemeClr w14:val="tx1"/>
            </w14:solidFill>
          </w14:textFill>
        </w:rPr>
        <w:t>案例5-2 引企入校与大师双轮驱动融合育人</w:t>
      </w:r>
      <w:r>
        <w:rPr>
          <w:rFonts w:hint="eastAsia" w:ascii="宋体" w:hAnsi="宋体" w:eastAsia="宋体" w:cs="宋体"/>
          <w:color w:val="000000" w:themeColor="text1"/>
          <w:sz w:val="21"/>
          <w:szCs w:val="21"/>
          <w:lang w:val="en-US" w:eastAsia="zh-CN"/>
          <w14:textFill>
            <w14:solidFill>
              <w14:schemeClr w14:val="tx1"/>
            </w14:solidFill>
          </w14:textFill>
        </w:rPr>
        <w:t>..............................................32</w:t>
      </w:r>
    </w:p>
    <w:p w14:paraId="02588702">
      <w:pPr>
        <w:pageBreakBefore w:val="0"/>
        <w:overflowPunct/>
        <w:topLinePunct w:val="0"/>
        <w:bidi w:val="0"/>
        <w:spacing w:line="440" w:lineRule="exact"/>
        <w:jc w:val="distribute"/>
        <w:rPr>
          <w:rFonts w:hint="eastAsia" w:ascii="黑体" w:hAnsi="黑体" w:eastAsia="黑体" w:cs="黑体"/>
          <w:color w:val="FF0000"/>
          <w:sz w:val="44"/>
          <w:szCs w:val="44"/>
        </w:rPr>
      </w:pPr>
    </w:p>
    <w:p w14:paraId="199B2018">
      <w:pPr>
        <w:pageBreakBefore w:val="0"/>
        <w:overflowPunct/>
        <w:topLinePunct w:val="0"/>
        <w:bidi w:val="0"/>
        <w:spacing w:line="440" w:lineRule="exact"/>
        <w:jc w:val="distribute"/>
        <w:rPr>
          <w:rFonts w:hint="eastAsia" w:ascii="黑体" w:hAnsi="黑体" w:eastAsia="黑体" w:cs="黑体"/>
          <w:color w:val="FF0000"/>
          <w:sz w:val="44"/>
          <w:szCs w:val="44"/>
        </w:rPr>
      </w:pPr>
    </w:p>
    <w:p w14:paraId="048A944D">
      <w:pPr>
        <w:pageBreakBefore w:val="0"/>
        <w:overflowPunct/>
        <w:topLinePunct w:val="0"/>
        <w:bidi w:val="0"/>
        <w:spacing w:line="440" w:lineRule="exact"/>
        <w:jc w:val="both"/>
        <w:rPr>
          <w:rFonts w:hint="eastAsia" w:ascii="黑体" w:hAnsi="黑体" w:eastAsia="黑体" w:cs="黑体"/>
          <w:color w:val="FF0000"/>
          <w:sz w:val="30"/>
          <w:szCs w:val="30"/>
          <w:lang w:val="en-US" w:eastAsia="zh-CN"/>
        </w:rPr>
        <w:sectPr>
          <w:footerReference r:id="rId4" w:type="default"/>
          <w:pgSz w:w="11906" w:h="16839"/>
          <w:pgMar w:top="1701" w:right="1417" w:bottom="1701" w:left="1417" w:header="0" w:footer="989" w:gutter="0"/>
          <w:pgNumType w:fmt="decimal" w:start="1"/>
          <w:cols w:space="720" w:num="1"/>
          <w:rtlGutter w:val="0"/>
        </w:sectPr>
      </w:pPr>
    </w:p>
    <w:p w14:paraId="0585BDD8">
      <w:pPr>
        <w:keepNext w:val="0"/>
        <w:keepLines w:val="0"/>
        <w:pageBreakBefore w:val="0"/>
        <w:widowControl w:val="0"/>
        <w:kinsoku/>
        <w:wordWrap/>
        <w:overflowPunct/>
        <w:topLinePunct w:val="0"/>
        <w:autoSpaceDE/>
        <w:autoSpaceDN/>
        <w:bidi w:val="0"/>
        <w:adjustRightInd/>
        <w:snapToGrid/>
        <w:spacing w:after="0" w:afterLines="50" w:line="560" w:lineRule="exact"/>
        <w:jc w:val="center"/>
        <w:textAlignment w:val="auto"/>
        <w:rPr>
          <w:rFonts w:hint="eastAsia" w:ascii="宋体" w:hAnsi="宋体" w:eastAsia="宋体" w:cs="宋体"/>
          <w:b/>
          <w:bCs/>
          <w:color w:val="000000" w:themeColor="text1"/>
          <w:sz w:val="44"/>
          <w:szCs w:val="44"/>
          <w:lang w:val="en-US" w:eastAsia="zh-CN"/>
          <w14:textFill>
            <w14:solidFill>
              <w14:schemeClr w14:val="tx1"/>
            </w14:solidFill>
          </w14:textFill>
        </w:rPr>
      </w:pPr>
      <w:r>
        <w:rPr>
          <w:rFonts w:hint="eastAsia" w:ascii="宋体" w:hAnsi="宋体" w:eastAsia="宋体" w:cs="宋体"/>
          <w:b/>
          <w:bCs/>
          <w:color w:val="000000" w:themeColor="text1"/>
          <w:sz w:val="44"/>
          <w:szCs w:val="44"/>
          <w:lang w:val="en-US" w:eastAsia="zh-CN"/>
          <w14:textFill>
            <w14:solidFill>
              <w14:schemeClr w14:val="tx1"/>
            </w14:solidFill>
          </w14:textFill>
        </w:rPr>
        <w:t>前  言</w:t>
      </w:r>
    </w:p>
    <w:p w14:paraId="2DD8DE6B">
      <w:pPr>
        <w:pStyle w:val="3"/>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杭锦后旗职业教育中心（巴彦淖尔应用技师学院）是集中等职业教育、技师教育、国家开放大学学历教育、社区教育、老年教育及各类培训、认定为一体的综合性职业学校。</w:t>
      </w:r>
    </w:p>
    <w:p w14:paraId="01E0C566">
      <w:pPr>
        <w:pStyle w:val="3"/>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leftChars="0" w:firstLine="480" w:firstLineChars="200"/>
        <w:textAlignment w:val="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Style w:val="25"/>
          <w:rFonts w:hint="eastAsia" w:ascii="宋体" w:hAnsi="宋体" w:eastAsia="宋体" w:cs="宋体"/>
          <w:b w:val="0"/>
          <w:bCs w:val="0"/>
          <w:i w:val="0"/>
          <w:iCs w:val="0"/>
          <w:caps w:val="0"/>
          <w:color w:val="0F1115"/>
          <w:spacing w:val="0"/>
          <w:sz w:val="24"/>
          <w:szCs w:val="24"/>
          <w:shd w:val="clear" w:fill="FFFFFF"/>
        </w:rPr>
        <w:t>本报告围绕人才培养、服务贡献、文化传承、国际合作、产教融合、发展保障和面临挑战等七大板块，系统梳理了学校2025年度的办学实践与成效。</w:t>
      </w:r>
      <w:r>
        <w:rPr>
          <w:rFonts w:hint="eastAsia" w:ascii="宋体" w:hAnsi="宋体" w:eastAsia="宋体" w:cs="宋体"/>
          <w:b w:val="0"/>
          <w:bCs w:val="0"/>
          <w:i w:val="0"/>
          <w:iCs w:val="0"/>
          <w:caps w:val="0"/>
          <w:color w:val="0F1115"/>
          <w:spacing w:val="0"/>
          <w:sz w:val="24"/>
          <w:szCs w:val="24"/>
          <w:shd w:val="clear" w:fill="FFFFFF"/>
        </w:rPr>
        <w:t>重点呈现了学校在深化内涵建设、推进产教融合方面的关键举措，包括牵头或参与市域产教联合体与行业产教融合共同体建设、推进“三教改革”（教师、教材、教法）、以及以数字化赋能教育教学全过程等方面的探索与成果。</w:t>
      </w:r>
      <w:r>
        <w:rPr>
          <w:rStyle w:val="25"/>
          <w:rFonts w:hint="eastAsia" w:ascii="宋体" w:hAnsi="宋体" w:eastAsia="宋体" w:cs="宋体"/>
          <w:b w:val="0"/>
          <w:bCs w:val="0"/>
          <w:i w:val="0"/>
          <w:iCs w:val="0"/>
          <w:caps w:val="0"/>
          <w:color w:val="0F1115"/>
          <w:spacing w:val="0"/>
          <w:sz w:val="24"/>
          <w:szCs w:val="24"/>
          <w:shd w:val="clear" w:fill="FFFFFF"/>
        </w:rPr>
        <w:t>报告旨在全面总结办学经验，客观分析存在问题，明确未来发展方位，</w:t>
      </w:r>
      <w:r>
        <w:rPr>
          <w:rFonts w:hint="eastAsia" w:ascii="宋体" w:hAnsi="宋体" w:eastAsia="宋体" w:cs="宋体"/>
          <w:b w:val="0"/>
          <w:bCs w:val="0"/>
          <w:i w:val="0"/>
          <w:iCs w:val="0"/>
          <w:caps w:val="0"/>
          <w:color w:val="0F1115"/>
          <w:spacing w:val="0"/>
          <w:sz w:val="24"/>
          <w:szCs w:val="24"/>
          <w:shd w:val="clear" w:fill="FFFFFF"/>
        </w:rPr>
        <w:t>从而持续提升办学水平与人才培养质量，实现高质量发展。</w:t>
      </w:r>
    </w:p>
    <w:p w14:paraId="094B15E3">
      <w:pPr>
        <w:pStyle w:val="3"/>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leftChars="0" w:firstLine="480" w:firstLineChars="200"/>
        <w:textAlignment w:val="auto"/>
        <w:rPr>
          <w:rFonts w:hint="eastAsia" w:ascii="宋体" w:hAnsi="宋体" w:eastAsia="宋体" w:cs="宋体"/>
          <w:color w:val="auto"/>
          <w:sz w:val="24"/>
          <w:szCs w:val="24"/>
          <w:lang w:val="en-US" w:eastAsia="zh-CN"/>
        </w:rPr>
      </w:pPr>
      <w:r>
        <w:rPr>
          <w:rFonts w:hint="eastAsia" w:ascii="宋体" w:hAnsi="宋体" w:eastAsia="宋体" w:cs="宋体"/>
          <w:color w:val="000000" w:themeColor="text1"/>
          <w:sz w:val="24"/>
          <w:szCs w:val="24"/>
          <w:lang w:val="en-US" w:eastAsia="zh-CN"/>
          <w14:textFill>
            <w14:solidFill>
              <w14:schemeClr w14:val="tx1"/>
            </w14:solidFill>
          </w14:textFill>
        </w:rPr>
        <w:t>过去的一年，我校紧紧围绕职业教育服务产业、服务社会、服务区域经济社会发展的核心任务</w:t>
      </w:r>
      <w:r>
        <w:rPr>
          <w:rFonts w:hint="eastAsia" w:ascii="宋体" w:hAnsi="宋体" w:eastAsia="宋体" w:cs="宋体"/>
          <w:color w:val="auto"/>
          <w:sz w:val="24"/>
          <w:szCs w:val="24"/>
          <w:lang w:val="en-US" w:eastAsia="zh-CN"/>
        </w:rPr>
        <w:t>，创新构建“三全五维十融合”育人模式与“1533”育人体系，坚守 “责任立人、五育塑人、个性成人、知行达人”育人观，以立德树人为核心，通过五大教育维度、五个育人方向筑牢根基，依托“3 层评价”助力学生“3 阶成长”，推动十大德育元素深度融入教管服务。</w:t>
      </w:r>
    </w:p>
    <w:p w14:paraId="2AF15C23">
      <w:pPr>
        <w:pStyle w:val="3"/>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在此基础上，学校尤为注重推动与社会、产业的深度融合。通过持续深化校企合作，牵头市域产教联合体，将行业标准、企业需求融入人才培养全过程，促进教育链、人才链与产业链、创新链紧密衔接。在课程设计、实训实习、师资共建等方面积极开展合作，推动职业技能培养与工匠精神培育的高度统一，引导学生树立远大理想、塑造健全人格、养成良好习惯，实现个人成长与社会需求的有效对接。</w:t>
      </w:r>
    </w:p>
    <w:p w14:paraId="2A84C317">
      <w:pPr>
        <w:pageBreakBefore w:val="0"/>
        <w:overflowPunct/>
        <w:topLinePunct w:val="0"/>
        <w:bidi w:val="0"/>
        <w:spacing w:line="440" w:lineRule="exact"/>
        <w:jc w:val="left"/>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i w:val="0"/>
          <w:iCs w:val="0"/>
          <w:caps w:val="0"/>
          <w:color w:val="0F1115"/>
          <w:spacing w:val="0"/>
          <w:sz w:val="24"/>
          <w:szCs w:val="24"/>
          <w:shd w:val="clear" w:fill="FFFFFF"/>
          <w:lang w:val="en-US" w:eastAsia="zh-CN"/>
        </w:rPr>
        <w:t xml:space="preserve">    </w:t>
      </w:r>
      <w:r>
        <w:rPr>
          <w:rFonts w:hint="eastAsia" w:ascii="宋体" w:hAnsi="宋体" w:eastAsia="宋体" w:cs="宋体"/>
          <w:b w:val="0"/>
          <w:bCs w:val="0"/>
          <w:i w:val="0"/>
          <w:iCs w:val="0"/>
          <w:caps w:val="0"/>
          <w:color w:val="0F1115"/>
          <w:spacing w:val="0"/>
          <w:sz w:val="24"/>
          <w:szCs w:val="24"/>
          <w:shd w:val="clear" w:fill="FFFFFF"/>
        </w:rPr>
        <w:t>本报告所呈现的成果，凝聚了全体师生的智慧与汗水，既是对过去一年办学实践的忠实记录，也是迈向新征程的行动基石。面向未来，杭锦后旗职业教育中心将继续</w:t>
      </w:r>
      <w:r>
        <w:rPr>
          <w:rStyle w:val="25"/>
          <w:rFonts w:hint="eastAsia" w:ascii="宋体" w:hAnsi="宋体" w:eastAsia="宋体" w:cs="宋体"/>
          <w:b w:val="0"/>
          <w:bCs w:val="0"/>
          <w:i w:val="0"/>
          <w:iCs w:val="0"/>
          <w:caps w:val="0"/>
          <w:color w:val="0F1115"/>
          <w:spacing w:val="0"/>
          <w:sz w:val="24"/>
          <w:szCs w:val="24"/>
          <w:shd w:val="clear" w:fill="FFFFFF"/>
        </w:rPr>
        <w:t>肩负起为党育人、为国育才的初心使命</w:t>
      </w:r>
      <w:r>
        <w:rPr>
          <w:rFonts w:hint="eastAsia" w:ascii="宋体" w:hAnsi="宋体" w:eastAsia="宋体" w:cs="宋体"/>
          <w:b w:val="0"/>
          <w:bCs w:val="0"/>
          <w:i w:val="0"/>
          <w:iCs w:val="0"/>
          <w:caps w:val="0"/>
          <w:color w:val="0F1115"/>
          <w:spacing w:val="0"/>
          <w:sz w:val="24"/>
          <w:szCs w:val="24"/>
          <w:shd w:val="clear" w:fill="FFFFFF"/>
        </w:rPr>
        <w:t>，坚定不移地走产教融合、特色发展之路，不断提升服务区域发展的能力，为谱写中国式现代化内蒙古新篇章贡献坚实的职教力量。</w:t>
      </w:r>
    </w:p>
    <w:p w14:paraId="44B470CE">
      <w:pPr>
        <w:pageBreakBefore w:val="0"/>
        <w:overflowPunct/>
        <w:topLinePunct w:val="0"/>
        <w:bidi w:val="0"/>
        <w:spacing w:line="440" w:lineRule="exact"/>
        <w:jc w:val="left"/>
        <w:rPr>
          <w:rFonts w:hint="eastAsia" w:ascii="宋体" w:hAnsi="宋体" w:eastAsia="宋体" w:cs="宋体"/>
          <w:b w:val="0"/>
          <w:bCs w:val="0"/>
          <w:color w:val="000000" w:themeColor="text1"/>
          <w:sz w:val="24"/>
          <w:szCs w:val="24"/>
          <w14:textFill>
            <w14:solidFill>
              <w14:schemeClr w14:val="tx1"/>
            </w14:solidFill>
          </w14:textFill>
        </w:rPr>
      </w:pPr>
    </w:p>
    <w:p w14:paraId="5BE4027F">
      <w:pPr>
        <w:pageBreakBefore w:val="0"/>
        <w:overflowPunct/>
        <w:topLinePunct w:val="0"/>
        <w:bidi w:val="0"/>
        <w:spacing w:line="440" w:lineRule="exact"/>
        <w:jc w:val="center"/>
        <w:rPr>
          <w:rFonts w:hint="eastAsia" w:ascii="宋体" w:hAnsi="宋体" w:eastAsia="宋体" w:cs="宋体"/>
          <w:b w:val="0"/>
          <w:bCs w:val="0"/>
          <w:color w:val="000000" w:themeColor="text1"/>
          <w:sz w:val="24"/>
          <w:szCs w:val="24"/>
          <w14:textFill>
            <w14:solidFill>
              <w14:schemeClr w14:val="tx1"/>
            </w14:solidFill>
          </w14:textFill>
        </w:rPr>
      </w:pPr>
    </w:p>
    <w:p w14:paraId="7DBE2729">
      <w:pPr>
        <w:pageBreakBefore w:val="0"/>
        <w:overflowPunct/>
        <w:topLinePunct w:val="0"/>
        <w:bidi w:val="0"/>
        <w:spacing w:line="440" w:lineRule="exact"/>
        <w:jc w:val="center"/>
        <w:rPr>
          <w:rFonts w:hint="eastAsia" w:ascii="黑体" w:hAnsi="黑体" w:eastAsia="黑体" w:cs="黑体"/>
          <w:b w:val="0"/>
          <w:bCs w:val="0"/>
          <w:color w:val="000000" w:themeColor="text1"/>
          <w:sz w:val="24"/>
          <w:szCs w:val="24"/>
          <w14:textFill>
            <w14:solidFill>
              <w14:schemeClr w14:val="tx1"/>
            </w14:solidFill>
          </w14:textFill>
        </w:rPr>
      </w:pPr>
    </w:p>
    <w:p w14:paraId="43C59F2F">
      <w:pPr>
        <w:pageBreakBefore w:val="0"/>
        <w:overflowPunct/>
        <w:topLinePunct w:val="0"/>
        <w:bidi w:val="0"/>
        <w:spacing w:line="440" w:lineRule="exact"/>
        <w:jc w:val="center"/>
        <w:rPr>
          <w:rFonts w:hint="eastAsia" w:ascii="黑体" w:hAnsi="黑体" w:eastAsia="黑体" w:cs="黑体"/>
          <w:color w:val="000000" w:themeColor="text1"/>
          <w:sz w:val="44"/>
          <w:szCs w:val="44"/>
          <w14:textFill>
            <w14:solidFill>
              <w14:schemeClr w14:val="tx1"/>
            </w14:solidFill>
          </w14:textFill>
        </w:rPr>
      </w:pPr>
    </w:p>
    <w:p w14:paraId="410C182A">
      <w:pPr>
        <w:pageBreakBefore w:val="0"/>
        <w:overflowPunct/>
        <w:topLinePunct w:val="0"/>
        <w:bidi w:val="0"/>
        <w:spacing w:line="440" w:lineRule="exact"/>
        <w:jc w:val="center"/>
        <w:rPr>
          <w:rFonts w:hint="eastAsia" w:ascii="黑体" w:hAnsi="黑体" w:eastAsia="黑体" w:cs="黑体"/>
          <w:color w:val="000000" w:themeColor="text1"/>
          <w:sz w:val="44"/>
          <w:szCs w:val="44"/>
          <w14:textFill>
            <w14:solidFill>
              <w14:schemeClr w14:val="tx1"/>
            </w14:solidFill>
          </w14:textFill>
        </w:rPr>
      </w:pPr>
    </w:p>
    <w:p w14:paraId="6643E46E">
      <w:pPr>
        <w:pageBreakBefore w:val="0"/>
        <w:overflowPunct/>
        <w:topLinePunct w:val="0"/>
        <w:bidi w:val="0"/>
        <w:spacing w:line="440" w:lineRule="exact"/>
        <w:jc w:val="center"/>
        <w:rPr>
          <w:rFonts w:hint="eastAsia" w:ascii="黑体" w:hAnsi="黑体" w:eastAsia="黑体" w:cs="黑体"/>
          <w:color w:val="000000" w:themeColor="text1"/>
          <w:sz w:val="44"/>
          <w:szCs w:val="44"/>
          <w14:textFill>
            <w14:solidFill>
              <w14:schemeClr w14:val="tx1"/>
            </w14:solidFill>
          </w14:textFill>
        </w:rPr>
        <w:sectPr>
          <w:footerReference r:id="rId5" w:type="default"/>
          <w:pgSz w:w="11906" w:h="16838"/>
          <w:pgMar w:top="1701" w:right="1417" w:bottom="1701" w:left="1417" w:header="851" w:footer="992" w:gutter="0"/>
          <w:pgNumType w:fmt="decimal" w:start="1"/>
          <w:cols w:space="0" w:num="1"/>
          <w:rtlGutter w:val="0"/>
          <w:docGrid w:type="lines" w:linePitch="312" w:charSpace="0"/>
        </w:sectPr>
      </w:pPr>
    </w:p>
    <w:p w14:paraId="40D48603">
      <w:pPr>
        <w:pageBreakBefore w:val="0"/>
        <w:overflowPunct/>
        <w:topLinePunct w:val="0"/>
        <w:bidi w:val="0"/>
        <w:spacing w:line="440" w:lineRule="exact"/>
        <w:jc w:val="center"/>
        <w:rPr>
          <w:rFonts w:ascii="宋体" w:hAnsi="宋体" w:eastAsia="宋体" w:cs="宋体"/>
          <w:color w:val="000000" w:themeColor="text1"/>
          <w:sz w:val="24"/>
          <w:szCs w:val="24"/>
          <w14:textFill>
            <w14:solidFill>
              <w14:schemeClr w14:val="tx1"/>
            </w14:solidFill>
          </w14:textFill>
        </w:rPr>
      </w:pPr>
      <w:r>
        <w:rPr>
          <w:rFonts w:hint="eastAsia" w:ascii="黑体" w:hAnsi="黑体" w:eastAsia="黑体" w:cs="黑体"/>
          <w:color w:val="000000" w:themeColor="text1"/>
          <w:sz w:val="44"/>
          <w:szCs w:val="44"/>
          <w14:textFill>
            <w14:solidFill>
              <w14:schemeClr w14:val="tx1"/>
            </w14:solidFill>
          </w14:textFill>
        </w:rPr>
        <w:t>杭锦后旗职业教育中心202</w:t>
      </w:r>
      <w:r>
        <w:rPr>
          <w:rFonts w:hint="eastAsia" w:ascii="黑体" w:hAnsi="黑体" w:eastAsia="黑体" w:cs="黑体"/>
          <w:color w:val="000000" w:themeColor="text1"/>
          <w:sz w:val="44"/>
          <w:szCs w:val="44"/>
          <w:lang w:val="en-US" w:eastAsia="zh-CN"/>
          <w14:textFill>
            <w14:solidFill>
              <w14:schemeClr w14:val="tx1"/>
            </w14:solidFill>
          </w14:textFill>
        </w:rPr>
        <w:t>5</w:t>
      </w:r>
      <w:r>
        <w:rPr>
          <w:rFonts w:hint="eastAsia" w:ascii="黑体" w:hAnsi="黑体" w:eastAsia="黑体" w:cs="黑体"/>
          <w:color w:val="000000" w:themeColor="text1"/>
          <w:sz w:val="44"/>
          <w:szCs w:val="44"/>
          <w14:textFill>
            <w14:solidFill>
              <w14:schemeClr w14:val="tx1"/>
            </w14:solidFill>
          </w14:textFill>
        </w:rPr>
        <w:t>年度质量报告</w:t>
      </w:r>
    </w:p>
    <w:p w14:paraId="73C1CF04">
      <w:pPr>
        <w:keepNext w:val="0"/>
        <w:keepLines w:val="0"/>
        <w:pageBreakBefore w:val="0"/>
        <w:widowControl w:val="0"/>
        <w:kinsoku/>
        <w:wordWrap/>
        <w:overflowPunct/>
        <w:topLinePunct w:val="0"/>
        <w:autoSpaceDE/>
        <w:autoSpaceDN/>
        <w:bidi w:val="0"/>
        <w:adjustRightInd/>
        <w:snapToGrid/>
        <w:spacing w:before="0" w:after="0" w:line="440" w:lineRule="exact"/>
        <w:ind w:firstLine="480" w:firstLineChars="200"/>
        <w:jc w:val="left"/>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ascii="宋体" w:hAnsi="宋体" w:eastAsia="宋体" w:cs="宋体"/>
          <w:color w:val="000000" w:themeColor="text1"/>
          <w:sz w:val="24"/>
          <w:szCs w:val="24"/>
          <w14:textFill>
            <w14:solidFill>
              <w14:schemeClr w14:val="tx1"/>
            </w14:solidFill>
          </w14:textFill>
        </w:rPr>
        <w:t>杭锦后旗职业教育中心</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巴彦淖尔应用技师学院</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是一所集职业高中教育、高级技工教育、技师教育、国家开放大学学历教育及各级各类职业技能培训与鉴定于一体的综合性公办学校。学校占地面积223845.2平方米，生均102.45平方米；建筑面积76241平方米，生均34.89平方米；绿化面积12000平米，生均5.49平米。其中教学及辅助用房面积52480.5平方米，行政办公用房4070平方米，生活用房19691平方米。开设护理、会计事务、计算机应用、幼儿保育、旅游服务与管理、机电技术应用、汽车运用与维修、数控技术应用、作物生产技术、畜禽生产技术等10个专业，专业布局覆盖医药卫生类、农林牧渔类、交通运输类、加工制造类、财经商贸类、教育类、信息技术类等七个专业大类；学校始终坚持以习近平新时代中国特色社会主义思想为指导，牢牢把握立德树人根本任务，将思想政治教育全面融入教育教学全过程，构建形成全员、全过程、全方位 “三全育人” 工作格局，以内蒙古自治区 “双优校” 建设为契机，以专业建设、课程建设、教材建设为抓手，持续深化教师、教材、教法 “三教” 改革，通过推动产业和企业文化进校园、工匠大师名师进课堂等实践举措，系统传承培育工匠精神，实现职业技能培养与职业精神塑造的有机融合，逐步积淀形成独特办学文化，鲜明彰显职业教育办学特色，健全完善现代学校治理体系，在人才培养、专业建设、教学改革、校园治理等各方面均取得丰硕成果。</w:t>
      </w:r>
    </w:p>
    <w:p w14:paraId="447EABF6">
      <w:pPr>
        <w:keepNext w:val="0"/>
        <w:keepLines w:val="0"/>
        <w:pageBreakBefore w:val="0"/>
        <w:widowControl w:val="0"/>
        <w:numPr>
          <w:ilvl w:val="0"/>
          <w:numId w:val="0"/>
        </w:numPr>
        <w:kinsoku/>
        <w:wordWrap/>
        <w:overflowPunct/>
        <w:topLinePunct w:val="0"/>
        <w:autoSpaceDE/>
        <w:autoSpaceDN/>
        <w:bidi w:val="0"/>
        <w:adjustRightInd/>
        <w:snapToGrid/>
        <w:spacing w:before="157" w:beforeLines="50" w:after="157" w:afterLines="50" w:line="440" w:lineRule="exact"/>
        <w:ind w:firstLine="602" w:firstLineChars="200"/>
        <w:jc w:val="both"/>
        <w:textAlignment w:val="auto"/>
        <w:rPr>
          <w:rFonts w:hint="eastAsia" w:ascii="黑体" w:hAnsi="黑体" w:eastAsia="黑体" w:cs="黑体"/>
          <w:b/>
          <w:bCs/>
          <w:color w:val="000000" w:themeColor="text1"/>
          <w:sz w:val="30"/>
          <w:szCs w:val="30"/>
          <w:lang w:val="en-US" w:eastAsia="zh-CN"/>
          <w14:textFill>
            <w14:solidFill>
              <w14:schemeClr w14:val="tx1"/>
            </w14:solidFill>
          </w14:textFill>
        </w:rPr>
      </w:pPr>
      <w:r>
        <w:rPr>
          <w:rFonts w:hint="eastAsia" w:ascii="黑体" w:hAnsi="黑体" w:eastAsia="黑体" w:cs="黑体"/>
          <w:b/>
          <w:bCs/>
          <w:color w:val="000000" w:themeColor="text1"/>
          <w:sz w:val="30"/>
          <w:szCs w:val="30"/>
          <w:lang w:val="en-US" w:eastAsia="zh-CN"/>
          <w14:textFill>
            <w14:solidFill>
              <w14:schemeClr w14:val="tx1"/>
            </w14:solidFill>
          </w14:textFill>
        </w:rPr>
        <w:t>1.人才培养</w:t>
      </w:r>
    </w:p>
    <w:p w14:paraId="70785E3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学校坚持“立德树人”根本任务，构建“三全育人”体系，以产教融合、岗课赛证融通为路径，深化“德技并修”人才培养。通过数字化赋能、特色专业建设和实践育人，全面提升学生技能与素养，为区域发展输送高素质技术技能人才。</w:t>
      </w:r>
    </w:p>
    <w:p w14:paraId="1C31B646">
      <w:pPr>
        <w:keepNext w:val="0"/>
        <w:keepLines w:val="0"/>
        <w:pageBreakBefore w:val="0"/>
        <w:widowControl w:val="0"/>
        <w:kinsoku/>
        <w:wordWrap/>
        <w:overflowPunct/>
        <w:topLinePunct w:val="0"/>
        <w:autoSpaceDE/>
        <w:autoSpaceDN/>
        <w:bidi w:val="0"/>
        <w:adjustRightInd/>
        <w:snapToGrid/>
        <w:spacing w:before="0" w:after="0"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1.1</w:t>
      </w:r>
      <w:r>
        <w:rPr>
          <w:rFonts w:hint="eastAsia" w:ascii="黑体" w:hAnsi="黑体" w:eastAsia="黑体" w:cs="黑体"/>
          <w:b/>
          <w:bCs/>
          <w:color w:val="000000" w:themeColor="text1"/>
          <w:sz w:val="28"/>
          <w:szCs w:val="28"/>
          <w:lang w:val="en-US" w:eastAsia="zh-CN"/>
          <w14:textFill>
            <w14:solidFill>
              <w14:schemeClr w14:val="tx1"/>
            </w14:solidFill>
          </w14:textFill>
        </w:rPr>
        <w:t>立德树人</w:t>
      </w:r>
    </w:p>
    <w:p w14:paraId="4FC287DB">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落实立德树人根本任务，是职业教育培养德技并修高素质技术技能人才、服务区域经济社会高质量发展的核心要义与根本遵循。</w:t>
      </w:r>
      <w:r>
        <w:rPr>
          <w:rFonts w:hint="eastAsia" w:ascii="宋体" w:hAnsi="宋体" w:eastAsia="宋体" w:cs="宋体"/>
          <w:color w:val="000000" w:themeColor="text1"/>
          <w:sz w:val="24"/>
          <w:szCs w:val="24"/>
          <w:lang w:val="en-US" w:eastAsia="zh-CN"/>
          <w14:textFill>
            <w14:solidFill>
              <w14:schemeClr w14:val="tx1"/>
            </w14:solidFill>
          </w14:textFill>
        </w:rPr>
        <w:t>我校深入推进全员、全过程、全方位 “三全育人” 综合改革，立足职业教育人才培养目标定位，紧密结合学生身心发展规律与特点，始终坚守 “责任立人、五育塑人、个性成人、知行达人” 育人理念，以理想信念教育、职业道德教育、身心健康教育、法治纪律教育、地域文化教育为五大核心维度，全面夯实学生成长成才根基。同时，积极推动十大德育元素与教育教学、管理服务各环节深度融合、一体推进，确保立德树人根本任务落地落细、见行见效。</w:t>
      </w:r>
    </w:p>
    <w:p w14:paraId="1F0FB8F0">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1.2</w:t>
      </w:r>
      <w:r>
        <w:rPr>
          <w:rFonts w:hint="eastAsia" w:ascii="黑体" w:hAnsi="黑体" w:eastAsia="黑体" w:cs="黑体"/>
          <w:b/>
          <w:bCs/>
          <w:color w:val="000000" w:themeColor="text1"/>
          <w:sz w:val="28"/>
          <w:szCs w:val="28"/>
          <w:lang w:val="en-US" w:eastAsia="zh-CN"/>
          <w14:textFill>
            <w14:solidFill>
              <w14:schemeClr w14:val="tx1"/>
            </w14:solidFill>
          </w14:textFill>
        </w:rPr>
        <w:t>“双优”建设</w:t>
      </w:r>
    </w:p>
    <w:p w14:paraId="18751EA5">
      <w:pPr>
        <w:pageBreakBefore w:val="0"/>
        <w:overflowPunct/>
        <w:topLinePunct w:val="0"/>
        <w:bidi w:val="0"/>
        <w:spacing w:line="440" w:lineRule="exact"/>
        <w:ind w:firstLine="480" w:firstLineChars="200"/>
        <w:jc w:val="both"/>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我校以“双优”建设为契机，构建了“党建引领、三全育人、融合融通、数字赋能、技能培训”的特色化职业教育体系，在上一轮 “双优计划” 建设中，完成 513项核心任务，形成国家级成果10项、自治区级成果154项，</w:t>
      </w:r>
      <w:r>
        <w:rPr>
          <w:rFonts w:hint="eastAsia" w:ascii="宋体" w:hAnsi="宋体" w:eastAsia="宋体" w:cs="宋体"/>
          <w:sz w:val="24"/>
          <w:szCs w:val="24"/>
          <w:lang w:val="en-US" w:eastAsia="zh-CN"/>
        </w:rPr>
        <w:t>被评为优秀等级，为第二轮申报奠定了坚实基础</w:t>
      </w:r>
      <w:r>
        <w:rPr>
          <w:rFonts w:hint="eastAsia" w:ascii="宋体" w:hAnsi="宋体" w:eastAsia="宋体" w:cs="宋体"/>
          <w:color w:val="000000" w:themeColor="text1"/>
          <w:sz w:val="24"/>
          <w:szCs w:val="24"/>
          <w:lang w:val="en-US" w:eastAsia="zh-CN"/>
          <w14:textFill>
            <w14:solidFill>
              <w14:schemeClr w14:val="tx1"/>
            </w14:solidFill>
          </w14:textFill>
        </w:rPr>
        <w:t>推动职业教育高质量发展。</w:t>
      </w:r>
    </w:p>
    <w:p w14:paraId="19727DB4">
      <w:pPr>
        <w:pageBreakBefore w:val="0"/>
        <w:overflowPunct/>
        <w:topLinePunct w:val="0"/>
        <w:bidi w:val="0"/>
        <w:spacing w:line="440" w:lineRule="exact"/>
        <w:ind w:firstLine="562" w:firstLineChars="200"/>
        <w:jc w:val="both"/>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1.3</w:t>
      </w:r>
      <w:r>
        <w:rPr>
          <w:rFonts w:hint="eastAsia" w:ascii="黑体" w:hAnsi="黑体" w:eastAsia="黑体" w:cs="黑体"/>
          <w:b/>
          <w:bCs/>
          <w:color w:val="000000" w:themeColor="text1"/>
          <w:sz w:val="28"/>
          <w:szCs w:val="28"/>
          <w:lang w:val="en-US" w:eastAsia="zh-CN"/>
          <w14:textFill>
            <w14:solidFill>
              <w14:schemeClr w14:val="tx1"/>
            </w14:solidFill>
          </w14:textFill>
        </w:rPr>
        <w:t>专业建设</w:t>
      </w:r>
    </w:p>
    <w:p w14:paraId="651C92F3">
      <w:pPr>
        <w:pageBreakBefore w:val="0"/>
        <w:overflowPunct/>
        <w:topLinePunct w:val="0"/>
        <w:bidi w:val="0"/>
        <w:spacing w:line="440" w:lineRule="exact"/>
        <w:ind w:firstLine="480" w:firstLineChars="200"/>
        <w:jc w:val="both"/>
        <w:rPr>
          <w:rFonts w:hint="eastAsia" w:ascii="宋体" w:hAnsi="宋体" w:eastAsia="宋体" w:cs="宋体"/>
          <w:i w:val="0"/>
          <w:iCs w:val="0"/>
          <w:caps w:val="0"/>
          <w:color w:val="auto"/>
          <w:spacing w:val="0"/>
          <w:sz w:val="24"/>
          <w:szCs w:val="24"/>
          <w:shd w:val="clear" w:fill="FFFFFF"/>
        </w:rPr>
      </w:pPr>
      <w:r>
        <w:rPr>
          <w:rFonts w:hint="eastAsia" w:ascii="宋体" w:hAnsi="宋体" w:eastAsia="宋体" w:cs="宋体"/>
          <w:i w:val="0"/>
          <w:iCs w:val="0"/>
          <w:caps w:val="0"/>
          <w:color w:val="auto"/>
          <w:spacing w:val="0"/>
          <w:sz w:val="24"/>
          <w:szCs w:val="24"/>
          <w:shd w:val="clear" w:fill="FFFFFF"/>
        </w:rPr>
        <w:t>在重点专业建设方面，聚焦区域产业发展需求，遴选具备发展潜力、契合市场需求的专业予以重点扶持，强化专业内涵建设与特色发展</w:t>
      </w:r>
      <w:r>
        <w:rPr>
          <w:rFonts w:hint="eastAsia" w:ascii="宋体" w:hAnsi="宋体" w:eastAsia="宋体" w:cs="宋体"/>
          <w:i w:val="0"/>
          <w:iCs w:val="0"/>
          <w:caps w:val="0"/>
          <w:color w:val="auto"/>
          <w:spacing w:val="0"/>
          <w:sz w:val="24"/>
          <w:szCs w:val="24"/>
          <w:shd w:val="clear" w:fill="FFFFFF"/>
          <w:lang w:eastAsia="zh-CN"/>
        </w:rPr>
        <w:t>。</w:t>
      </w:r>
      <w:r>
        <w:rPr>
          <w:rFonts w:hint="eastAsia" w:ascii="宋体" w:hAnsi="宋体" w:eastAsia="宋体" w:cs="宋体"/>
          <w:i w:val="0"/>
          <w:iCs w:val="0"/>
          <w:caps w:val="0"/>
          <w:color w:val="auto"/>
          <w:spacing w:val="0"/>
          <w:sz w:val="24"/>
          <w:szCs w:val="24"/>
          <w:shd w:val="clear" w:fill="FFFFFF"/>
        </w:rPr>
        <w:t>如，对于机械加工技术专业，投入大量资金用于实训设备的</w:t>
      </w:r>
      <w:r>
        <w:rPr>
          <w:rFonts w:hint="eastAsia" w:ascii="宋体" w:hAnsi="宋体" w:eastAsia="宋体" w:cs="宋体"/>
          <w:i w:val="0"/>
          <w:iCs w:val="0"/>
          <w:caps w:val="0"/>
          <w:color w:val="auto"/>
          <w:spacing w:val="0"/>
          <w:sz w:val="24"/>
          <w:szCs w:val="24"/>
          <w:shd w:val="clear" w:fill="FFFFFF"/>
          <w:lang w:val="en-US" w:eastAsia="zh-CN"/>
        </w:rPr>
        <w:t>更新迭代</w:t>
      </w:r>
      <w:r>
        <w:rPr>
          <w:rFonts w:hint="eastAsia" w:ascii="宋体" w:hAnsi="宋体" w:eastAsia="宋体" w:cs="宋体"/>
          <w:i w:val="0"/>
          <w:iCs w:val="0"/>
          <w:caps w:val="0"/>
          <w:color w:val="auto"/>
          <w:spacing w:val="0"/>
          <w:sz w:val="24"/>
          <w:szCs w:val="24"/>
          <w:shd w:val="clear" w:fill="FFFFFF"/>
        </w:rPr>
        <w:t>，引进先进的数控机床等设备，为学生提供更贴近实际生产环境的学习条件。同时，加强与相关企业的合作，建立校外实习基地，让学生有机会参与企业的实际生产项目，积累实践经验，提高专业技能。</w:t>
      </w:r>
    </w:p>
    <w:p w14:paraId="29F5D30D">
      <w:pPr>
        <w:pageBreakBefore w:val="0"/>
        <w:overflowPunct/>
        <w:topLinePunct w:val="0"/>
        <w:bidi w:val="0"/>
        <w:spacing w:line="440" w:lineRule="exact"/>
        <w:ind w:firstLine="480" w:firstLineChars="200"/>
        <w:jc w:val="both"/>
        <w:rPr>
          <w:rFonts w:hint="eastAsia" w:ascii="宋体" w:hAnsi="宋体" w:eastAsia="宋体" w:cs="宋体"/>
          <w:i w:val="0"/>
          <w:iCs w:val="0"/>
          <w:caps w:val="0"/>
          <w:color w:val="auto"/>
          <w:spacing w:val="0"/>
          <w:sz w:val="24"/>
          <w:szCs w:val="24"/>
          <w:shd w:val="clear" w:fill="FFFFFF"/>
        </w:rPr>
      </w:pPr>
      <w:r>
        <w:rPr>
          <w:rFonts w:hint="eastAsia" w:ascii="宋体" w:hAnsi="宋体" w:eastAsia="宋体" w:cs="宋体"/>
          <w:i w:val="0"/>
          <w:iCs w:val="0"/>
          <w:caps w:val="0"/>
          <w:color w:val="auto"/>
          <w:spacing w:val="0"/>
          <w:sz w:val="24"/>
          <w:szCs w:val="24"/>
          <w:shd w:val="clear" w:fill="FFFFFF"/>
        </w:rPr>
        <w:t>在专业设置优化升级方面，学校依据专业建设发展规划，结合第二轮“双优”建设要求，对照国家课程及教学标准对各专业开展可行性论证并形成论证报告，建立专业设置指导监督与动态调整机制，重新修订10个专业的人才培养方案及34门专业课课程标准，对专业设置实施动态调整，重点打造现代农业、智能制造等特色专业；技师学院新增农产品加工与保鲜（酿造方向）、机电一体化专业，进一步使专业结构与区域产业发展需求精准契合。</w:t>
      </w:r>
    </w:p>
    <w:p w14:paraId="1B4975D5">
      <w:pPr>
        <w:pageBreakBefore w:val="0"/>
        <w:overflowPunct/>
        <w:topLinePunct w:val="0"/>
        <w:bidi w:val="0"/>
        <w:spacing w:line="440" w:lineRule="exact"/>
        <w:ind w:firstLine="562" w:firstLineChars="200"/>
        <w:jc w:val="both"/>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1.4</w:t>
      </w:r>
      <w:r>
        <w:rPr>
          <w:rFonts w:hint="eastAsia" w:ascii="黑体" w:hAnsi="黑体" w:eastAsia="黑体" w:cs="黑体"/>
          <w:b/>
          <w:bCs/>
          <w:color w:val="000000" w:themeColor="text1"/>
          <w:sz w:val="28"/>
          <w:szCs w:val="28"/>
          <w:lang w:val="en-US" w:eastAsia="zh-CN"/>
          <w14:textFill>
            <w14:solidFill>
              <w14:schemeClr w14:val="tx1"/>
            </w14:solidFill>
          </w14:textFill>
        </w:rPr>
        <w:t>课程建设</w:t>
      </w:r>
    </w:p>
    <w:p w14:paraId="47183DDA">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依托二轮“双优”建设，推进课程体系系统性重构与课</w:t>
      </w:r>
      <w:r>
        <w:rPr>
          <w:rFonts w:hint="eastAsia" w:ascii="宋体" w:hAnsi="宋体" w:eastAsia="宋体" w:cs="宋体"/>
          <w:color w:val="auto"/>
          <w:sz w:val="24"/>
          <w:szCs w:val="24"/>
          <w:lang w:val="en-US" w:eastAsia="zh-CN"/>
        </w:rPr>
        <w:t>堂革命，重新构建“公共基础课程+专业核心课程+专业拓展课程+实践课程”的课程体系。减少重复内容，增加技能课程，本学期共开设技能等级考试课程10门，本年参与技能等级鉴定学生达61</w:t>
      </w:r>
      <w:r>
        <w:rPr>
          <w:rFonts w:hint="eastAsia" w:ascii="宋体" w:hAnsi="宋体" w:eastAsia="宋体" w:cs="宋体"/>
          <w:color w:val="000000" w:themeColor="text1"/>
          <w:sz w:val="24"/>
          <w:szCs w:val="24"/>
          <w:lang w:val="en-US" w:eastAsia="zh-CN"/>
          <w14:textFill>
            <w14:solidFill>
              <w14:schemeClr w14:val="tx1"/>
            </w14:solidFill>
          </w14:textFill>
        </w:rPr>
        <w:t>6人次。在课程资源开发方面，推动项目化、案例化、情境化、模块化教学，加强校本课程开发，重新开发活页式教材8本，与企业共建“工作过程导向”课程资源包，丰富了课程资源，提升了课程质量。全面推进课程改革，对接产业需求，启动“课程对接产业”专项行动，深入调研区域产业发展需求，初步完成课程内容动态调整方案。成立校本教材建设领导小组，推动重点专业校本教材编写工作，本学期已完成校本教材初稿12本。改革考试模式，强化能力本位，期末考试所有课程统一采用项目任务式作业考核形式，促进学生实践能力与综合素质提升。</w:t>
      </w:r>
    </w:p>
    <w:p w14:paraId="1E6165C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1.5</w:t>
      </w:r>
      <w:r>
        <w:rPr>
          <w:rFonts w:hint="eastAsia" w:ascii="黑体" w:hAnsi="黑体" w:eastAsia="黑体" w:cs="黑体"/>
          <w:b/>
          <w:bCs/>
          <w:color w:val="000000" w:themeColor="text1"/>
          <w:sz w:val="28"/>
          <w:szCs w:val="28"/>
          <w:lang w:val="en-US" w:eastAsia="zh-CN"/>
          <w14:textFill>
            <w14:solidFill>
              <w14:schemeClr w14:val="tx1"/>
            </w14:solidFill>
          </w14:textFill>
        </w:rPr>
        <w:t>教材建设</w:t>
      </w:r>
    </w:p>
    <w:p w14:paraId="580E68FF">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b w:val="0"/>
          <w:bCs w:val="0"/>
          <w:color w:val="FF0000"/>
          <w:sz w:val="24"/>
          <w:szCs w:val="24"/>
          <w:lang w:val="en-US" w:eastAsia="zh-CN"/>
        </w:rPr>
      </w:pPr>
      <w:r>
        <w:rPr>
          <w:rFonts w:hint="eastAsia" w:ascii="宋体" w:hAnsi="宋体" w:eastAsia="宋体" w:cs="宋体"/>
          <w:b w:val="0"/>
          <w:bCs w:val="0"/>
          <w:color w:val="auto"/>
          <w:sz w:val="24"/>
          <w:szCs w:val="24"/>
          <w:lang w:val="en-US" w:eastAsia="zh-CN"/>
        </w:rPr>
        <w:t>学校严格规范教材选用与管理流程，确保选用教材的质量与适用性，优先选用国家规划教材及行业权威教材，其中语文、思政、历史学科统一采用国家统编教材，严守教材质量关口，为教学质量提升筑牢基础。同时，鼓励教师结合学校教学实际与学生特点，编写具有本校特色的校本教材。校本教材编写严格遵循“实用、适用”原则，重点凸显职业教育特色，融入最新行业标准与实际案例，增强教材的实用性与针对性。近年来，学校教师主编或参编多部校本教材，已在教学中广泛应用并取得良好教学成效。建立教材定期评估与更新机制，及时淘汰内容陈旧、不符合市场需求的教材，确保教材内容始终与行业发展保持同步。</w:t>
      </w:r>
    </w:p>
    <w:p w14:paraId="3CCCBE4E">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1.6</w:t>
      </w:r>
      <w:r>
        <w:rPr>
          <w:rFonts w:hint="eastAsia" w:ascii="黑体" w:hAnsi="黑体" w:eastAsia="黑体" w:cs="黑体"/>
          <w:b/>
          <w:bCs/>
          <w:color w:val="000000" w:themeColor="text1"/>
          <w:sz w:val="28"/>
          <w:szCs w:val="28"/>
          <w:lang w:val="en-US" w:eastAsia="zh-CN"/>
          <w14:textFill>
            <w14:solidFill>
              <w14:schemeClr w14:val="tx1"/>
            </w14:solidFill>
          </w14:textFill>
        </w:rPr>
        <w:t>教学改革</w:t>
      </w:r>
    </w:p>
    <w:p w14:paraId="23ABF185">
      <w:pPr>
        <w:keepNext w:val="0"/>
        <w:keepLines w:val="0"/>
        <w:pageBreakBefore w:val="0"/>
        <w:widowControl w:val="0"/>
        <w:numPr>
          <w:ilvl w:val="0"/>
          <w:numId w:val="0"/>
        </w:numPr>
        <w:kinsoku/>
        <w:wordWrap/>
        <w:overflowPunct/>
        <w:topLinePunct w:val="0"/>
        <w:autoSpaceDE/>
        <w:autoSpaceDN/>
        <w:bidi w:val="0"/>
        <w:adjustRightInd/>
        <w:snapToGrid/>
        <w:spacing w:line="440" w:lineRule="exact"/>
        <w:ind w:firstLine="480" w:firstLineChars="200"/>
        <w:jc w:val="both"/>
        <w:textAlignment w:val="auto"/>
        <w:rPr>
          <w:rFonts w:hint="eastAsia" w:ascii="仿宋_GB2312" w:hAnsi="Yu Mincho Light" w:eastAsia="仿宋_GB2312" w:cs="Yu Mincho Light"/>
          <w:color w:val="000000" w:themeColor="text1"/>
          <w:sz w:val="32"/>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提高教学质量，培养适应社会需求的高素质人才，积极推动教学改革创新。引入先进的教学理念和方法，如项目教学法、任务驱动法等。在项目教学法中，教师将教学内容设计成具体的项目，学生以小组形式完成项目，从项目的规划、实施到总结评价，全程参与，培养了学生的团队协作能力、问题解决能力和创新思维。加强信息化教学手段的应用，利用多媒体教学软件、虚拟仿真技术等开展教学。例如，在医护专业的教学中，通过虚拟仿真数字人平台，学生可以直观地进行操作，加深对理论知识的理解。建立多元化的教学评价体系，不仅关注学生的学习成绩，还注重对学生学习过程、职业素养等方面的评价。通过教师评价、学生自评和互评等方式，全面、客观地反映学生的学习情况和综合素质。</w:t>
      </w:r>
    </w:p>
    <w:p w14:paraId="1ACBE6A5">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w:t>
      </w:r>
      <w:r>
        <w:rPr>
          <w:rFonts w:hint="eastAsia" w:ascii="黑体" w:hAnsi="黑体" w:eastAsia="黑体" w:cs="黑体"/>
          <w:b/>
          <w:bCs/>
          <w:color w:val="000000" w:themeColor="text1"/>
          <w:sz w:val="28"/>
          <w:szCs w:val="28"/>
          <w:lang w:val="en-US" w:eastAsia="zh-CN"/>
          <w14:textFill>
            <w14:solidFill>
              <w14:schemeClr w14:val="tx1"/>
            </w14:solidFill>
          </w14:textFill>
        </w:rPr>
        <w:t>7信息化建设</w:t>
      </w:r>
    </w:p>
    <w:p w14:paraId="00D44B3D">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val="0"/>
          <w:bCs w:val="0"/>
          <w:color w:val="000000" w:themeColor="text1"/>
          <w:kern w:val="0"/>
          <w:sz w:val="24"/>
          <w:szCs w:val="24"/>
          <w:lang w:bidi="ar"/>
          <w14:textFill>
            <w14:solidFill>
              <w14:schemeClr w14:val="tx1"/>
            </w14:solidFill>
          </w14:textFill>
        </w:rPr>
      </w:pPr>
      <w:r>
        <w:rPr>
          <w:rFonts w:hint="eastAsia" w:ascii="宋体" w:hAnsi="宋体" w:eastAsia="宋体" w:cs="宋体"/>
          <w:b w:val="0"/>
          <w:bCs w:val="0"/>
          <w:color w:val="000000" w:themeColor="text1"/>
          <w:kern w:val="0"/>
          <w:sz w:val="24"/>
          <w:szCs w:val="24"/>
          <w:lang w:bidi="ar"/>
          <w14:textFill>
            <w14:solidFill>
              <w14:schemeClr w14:val="tx1"/>
            </w14:solidFill>
          </w14:textFill>
        </w:rPr>
        <w:t>学校全面推进基础设施升级，筑牢数字校园建设底座，完成校园网络万兆升级改造，实现教学区5G信号无缝覆盖，所有教室及实训室均配备希沃智慧黑板，硬件配置的数字化迭代，为智慧教学开展提供稳定可靠的硬件支撑，构建起“数字硬件+实训场景”一体化教学空间。同步推进网络安全与智慧应用建设</w:t>
      </w:r>
      <w:r>
        <w:rPr>
          <w:rFonts w:hint="eastAsia" w:ascii="宋体" w:hAnsi="宋体" w:eastAsia="宋体" w:cs="宋体"/>
          <w:b w:val="0"/>
          <w:bCs w:val="0"/>
          <w:color w:val="000000" w:themeColor="text1"/>
          <w:kern w:val="0"/>
          <w:sz w:val="24"/>
          <w:szCs w:val="24"/>
          <w:lang w:eastAsia="zh-CN" w:bidi="ar"/>
          <w14:textFill>
            <w14:solidFill>
              <w14:schemeClr w14:val="tx1"/>
            </w14:solidFill>
          </w14:textFill>
        </w:rPr>
        <w:t>，在</w:t>
      </w:r>
      <w:r>
        <w:rPr>
          <w:rFonts w:hint="eastAsia" w:ascii="宋体" w:hAnsi="宋体" w:eastAsia="宋体" w:cs="宋体"/>
          <w:b w:val="0"/>
          <w:bCs w:val="0"/>
          <w:color w:val="000000" w:themeColor="text1"/>
          <w:kern w:val="0"/>
          <w:sz w:val="24"/>
          <w:szCs w:val="24"/>
          <w:lang w:bidi="ar"/>
          <w14:textFill>
            <w14:solidFill>
              <w14:schemeClr w14:val="tx1"/>
            </w14:solidFill>
          </w14:textFill>
        </w:rPr>
        <w:t>网络安全领域部署数据加密系统及智能安全网关，实时监测网络流量及攻击行为，建立数据分级管理制度，确保教学管理数据全程可追溯、无泄漏；智慧应用落地见效，全校班级均配备智慧班牌，实现课表推送、智慧巡课、考勤统计等功能高效运转；智慧宿舍管理系统联动AI监控，实现晚归预警、安全巡查智能化；智慧巡课平台累计记录教学数据1000余条，为教学评估提供坚实数据支撑。推动数据建设、服务保障与教师素养协同提升，数据建设与服务同步推进，建成职教数字基座及数据中台，完成多业务系统数据对接，实现师生核心数据实时采集上传，数据准确率超95%，2025年学校数据基座数据上报工作位列全国中职院校前50名；结合“双师型”教师认定机制，推动教师熟练运用数字化教学工具；搭建智慧校园服务平台，100余项业务实现“一平台通办”，推动教育管理向数据驱动转变。深化软件平台与教学改革深度融合，同步发力推进软件平台建设，将校园网站升级为“一站式服务门户”，整合招生就业、教学管理等核心模块，打造对外展示与师生服务核心窗口；打造全新专业教学资源库，构建“专业核心课+实训项目+技能培训”三维体系，2门课程资源</w:t>
      </w:r>
      <w:r>
        <w:rPr>
          <w:rFonts w:hint="eastAsia" w:ascii="宋体" w:hAnsi="宋体" w:eastAsia="宋体" w:cs="宋体"/>
          <w:b w:val="0"/>
          <w:bCs w:val="0"/>
          <w:color w:val="auto"/>
          <w:kern w:val="0"/>
          <w:sz w:val="24"/>
          <w:szCs w:val="24"/>
          <w:lang w:bidi="ar"/>
        </w:rPr>
        <w:t>入选</w:t>
      </w:r>
      <w:r>
        <w:rPr>
          <w:rFonts w:hint="eastAsia" w:ascii="宋体" w:hAnsi="宋体" w:eastAsia="宋体" w:cs="宋体"/>
          <w:b w:val="0"/>
          <w:bCs w:val="0"/>
          <w:color w:val="auto"/>
          <w:kern w:val="0"/>
          <w:sz w:val="24"/>
          <w:szCs w:val="24"/>
          <w:lang w:val="en-US" w:eastAsia="zh-CN" w:bidi="ar"/>
        </w:rPr>
        <w:t>自治</w:t>
      </w:r>
      <w:r>
        <w:rPr>
          <w:rFonts w:hint="eastAsia" w:ascii="宋体" w:hAnsi="宋体" w:eastAsia="宋体" w:cs="宋体"/>
          <w:b w:val="0"/>
          <w:bCs w:val="0"/>
          <w:color w:val="auto"/>
          <w:kern w:val="0"/>
          <w:sz w:val="24"/>
          <w:szCs w:val="24"/>
          <w:lang w:bidi="ar"/>
        </w:rPr>
        <w:t>区级职业</w:t>
      </w:r>
      <w:r>
        <w:rPr>
          <w:rFonts w:hint="eastAsia" w:ascii="宋体" w:hAnsi="宋体" w:eastAsia="宋体" w:cs="宋体"/>
          <w:b w:val="0"/>
          <w:bCs w:val="0"/>
          <w:color w:val="000000" w:themeColor="text1"/>
          <w:kern w:val="0"/>
          <w:sz w:val="24"/>
          <w:szCs w:val="24"/>
          <w:lang w:bidi="ar"/>
          <w14:textFill>
            <w14:solidFill>
              <w14:schemeClr w14:val="tx1"/>
            </w14:solidFill>
          </w14:textFill>
        </w:rPr>
        <w:t>教育数字资源库精品课程，实现优质资源跨校共享；资源库有力支撑精品在线课程建设和线上平台学习，开发动画、微课、虚拟仿真等多元化资源；在混合式教学中，学生依托资源库课前预习流程，课中结合虚拟操作强化技能，教师依托资源库实施精准指导。AI赋能教学改革成效显著，依托完善的数字基础，开发适配活页式教材，通过学习行为数据分析实现分层教学，推动个性化、精准化教学落地见效，为中职教育提质增效注入强劲动力。</w:t>
      </w:r>
    </w:p>
    <w:p w14:paraId="01F391EA">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w:t>
      </w:r>
      <w:r>
        <w:rPr>
          <w:rFonts w:hint="eastAsia" w:ascii="黑体" w:hAnsi="黑体" w:eastAsia="黑体" w:cs="黑体"/>
          <w:b/>
          <w:bCs/>
          <w:color w:val="000000" w:themeColor="text1"/>
          <w:sz w:val="28"/>
          <w:szCs w:val="28"/>
          <w:lang w:val="en-US" w:eastAsia="zh-CN"/>
          <w14:textFill>
            <w14:solidFill>
              <w14:schemeClr w14:val="tx1"/>
            </w14:solidFill>
          </w14:textFill>
        </w:rPr>
        <w:t>8贯通培养</w:t>
      </w:r>
    </w:p>
    <w:p w14:paraId="3B635246">
      <w:pPr>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学校积极构建现代职业教育体系，以服务学生多元发展和区域产业升级为导向，着力打破学历与技能壁垒，系统设计并推进“纵向贯通、横向融通”的人才培养模式改革，为学生搭建多元成才的“立交桥”。</w:t>
      </w:r>
    </w:p>
    <w:p w14:paraId="563AC618">
      <w:pPr>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纵向贯通：畅通技能人才深造渠道</w:t>
      </w:r>
    </w:p>
    <w:p w14:paraId="07AB7454">
      <w:pPr>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中高本衔接培养</w:t>
      </w:r>
      <w:r>
        <w:rPr>
          <w:rFonts w:hint="eastAsia" w:ascii="宋体" w:hAnsi="宋体" w:eastAsia="宋体" w:cs="宋体"/>
          <w:b w:val="0"/>
          <w:bCs w:val="0"/>
          <w:color w:val="000000" w:themeColor="text1"/>
          <w:sz w:val="24"/>
          <w:szCs w:val="24"/>
          <w:lang w:eastAsia="zh-CN"/>
          <w14:textFill>
            <w14:solidFill>
              <w14:schemeClr w14:val="tx1"/>
            </w14:solidFill>
          </w14:textFill>
        </w:rPr>
        <w:t>。</w:t>
      </w:r>
      <w:r>
        <w:rPr>
          <w:rFonts w:hint="eastAsia" w:ascii="宋体" w:hAnsi="宋体" w:eastAsia="宋体" w:cs="宋体"/>
          <w:b w:val="0"/>
          <w:bCs w:val="0"/>
          <w:color w:val="000000" w:themeColor="text1"/>
          <w:sz w:val="24"/>
          <w:szCs w:val="24"/>
          <w14:textFill>
            <w14:solidFill>
              <w14:schemeClr w14:val="tx1"/>
            </w14:solidFill>
          </w14:textFill>
        </w:rPr>
        <w:t>深化与内蒙古农业大学、包头轻工职业技术学院等区内优质高校的合作，共同开展“3+2”中高职衔接、中职与应用型本科衔接培养项目。通过共同制定一体化人才培养方案、共建课程与教学资源、实施过程性联合评价，实现中职、高职、本科教育在培养目标、课程体系、实训环节上的有机衔接。</w:t>
      </w:r>
    </w:p>
    <w:p w14:paraId="62D9B984">
      <w:pPr>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横向融通：深化产教融合与长学制培养</w:t>
      </w:r>
    </w:p>
    <w:p w14:paraId="6A917C0D">
      <w:pPr>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校企协同长学制培养</w:t>
      </w:r>
      <w:r>
        <w:rPr>
          <w:rFonts w:hint="eastAsia" w:ascii="宋体" w:hAnsi="宋体" w:eastAsia="宋体" w:cs="宋体"/>
          <w:b w:val="0"/>
          <w:bCs w:val="0"/>
          <w:color w:val="000000" w:themeColor="text1"/>
          <w:sz w:val="24"/>
          <w:szCs w:val="24"/>
          <w:lang w:eastAsia="zh-CN"/>
          <w14:textFill>
            <w14:solidFill>
              <w14:schemeClr w14:val="tx1"/>
            </w14:solidFill>
          </w14:textFill>
        </w:rPr>
        <w:t>。</w:t>
      </w:r>
      <w:r>
        <w:rPr>
          <w:rFonts w:hint="eastAsia" w:ascii="宋体" w:hAnsi="宋体" w:eastAsia="宋体" w:cs="宋体"/>
          <w:b w:val="0"/>
          <w:bCs w:val="0"/>
          <w:color w:val="000000" w:themeColor="text1"/>
          <w:sz w:val="24"/>
          <w:szCs w:val="24"/>
          <w14:textFill>
            <w14:solidFill>
              <w14:schemeClr w14:val="tx1"/>
            </w14:solidFill>
          </w14:textFill>
        </w:rPr>
        <w:t>与长城汽车、河套酒业集团、哈尔滨第一工具制造有限公司等区域龙头企业深度合作，全面推行“订单班”“冠名班”及现代学徒制。校企共同招生招工、共同制定培养标准、共同开发课程、共同组织教学、共同评价考核，形成“学生→学徒→准员工→员工”的渐进式培养路径，实现入学即入职、毕业即就业。</w:t>
      </w:r>
    </w:p>
    <w:p w14:paraId="03CE3A62">
      <w:pPr>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技师学院贯通培养</w:t>
      </w:r>
      <w:r>
        <w:rPr>
          <w:rFonts w:hint="eastAsia" w:ascii="宋体" w:hAnsi="宋体" w:eastAsia="宋体" w:cs="宋体"/>
          <w:b w:val="0"/>
          <w:bCs w:val="0"/>
          <w:color w:val="000000" w:themeColor="text1"/>
          <w:sz w:val="24"/>
          <w:szCs w:val="24"/>
          <w:lang w:eastAsia="zh-CN"/>
          <w14:textFill>
            <w14:solidFill>
              <w14:schemeClr w14:val="tx1"/>
            </w14:solidFill>
          </w14:textFill>
        </w:rPr>
        <w:t>。</w:t>
      </w:r>
      <w:r>
        <w:rPr>
          <w:rFonts w:hint="eastAsia" w:ascii="宋体" w:hAnsi="宋体" w:eastAsia="宋体" w:cs="宋体"/>
          <w:b w:val="0"/>
          <w:bCs w:val="0"/>
          <w:color w:val="000000" w:themeColor="text1"/>
          <w:sz w:val="24"/>
          <w:szCs w:val="24"/>
          <w14:textFill>
            <w14:solidFill>
              <w14:schemeClr w14:val="tx1"/>
            </w14:solidFill>
          </w14:textFill>
        </w:rPr>
        <w:t>依托巴彦淖尔应用技师学院平台，系统构建“中级工—高级工—预备技师/技师”的技能人才贯通培养体系。针对农产品加工与保鲜（酿造方向）、机电一体化等特色专业，实施一体化课程改革，将职业标准、工作过程融入教学，培养企业急需的高技能人才。</w:t>
      </w:r>
    </w:p>
    <w:p w14:paraId="16A8C875">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w:t>
      </w:r>
      <w:r>
        <w:rPr>
          <w:rFonts w:hint="eastAsia" w:ascii="黑体" w:hAnsi="黑体" w:eastAsia="黑体" w:cs="黑体"/>
          <w:b/>
          <w:bCs/>
          <w:color w:val="000000" w:themeColor="text1"/>
          <w:sz w:val="28"/>
          <w:szCs w:val="28"/>
          <w:lang w:val="en-US" w:eastAsia="zh-CN"/>
          <w14:textFill>
            <w14:solidFill>
              <w14:schemeClr w14:val="tx1"/>
            </w14:solidFill>
          </w14:textFill>
        </w:rPr>
        <w:t>9职普融通、科教融汇</w:t>
      </w:r>
    </w:p>
    <w:p w14:paraId="74E24CC9">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积极推动职普融通，与普通中小学开展合作交</w:t>
      </w:r>
      <w:r>
        <w:rPr>
          <w:rFonts w:hint="eastAsia" w:ascii="宋体" w:hAnsi="宋体" w:eastAsia="宋体" w:cs="宋体"/>
          <w:color w:val="auto"/>
          <w:sz w:val="24"/>
          <w:szCs w:val="24"/>
          <w:lang w:val="en-US" w:eastAsia="zh-CN"/>
        </w:rPr>
        <w:t>流。我校承</w:t>
      </w:r>
      <w:r>
        <w:rPr>
          <w:rFonts w:hint="eastAsia" w:ascii="宋体" w:hAnsi="宋体" w:eastAsia="宋体" w:cs="宋体"/>
          <w:color w:val="000000" w:themeColor="text1"/>
          <w:sz w:val="24"/>
          <w:szCs w:val="24"/>
          <w:lang w:val="en-US" w:eastAsia="zh-CN"/>
          <w14:textFill>
            <w14:solidFill>
              <w14:schemeClr w14:val="tx1"/>
            </w14:solidFill>
          </w14:textFill>
        </w:rPr>
        <w:t>担全市中小学社会实践，开设职业体验课程，邀请普通中小学学生到学校参观体验，了解职业教育和专业技能，培养职业兴趣和技能意识。</w:t>
      </w:r>
    </w:p>
    <w:p w14:paraId="7FD14A50">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开设职普融通班具有独特优势。学生入学注册普通高中学籍，可参加普通高考；学生在学习的过程中，可根据个人学业表现、兴趣特长及未来发展规划，申请转为中职学籍，参加应用型本科对口高考、技能大赛免试推荐升学、天津职业技术师范大学本科自主单独招生等，为学生提供更多升学选择。同时，该职普融通班依托“普教+职教”双资源优势，组建了兼具文化教学深度与技能实践广度的优质师资队伍，保障学生文化课提升与专业技能发展。</w:t>
      </w:r>
    </w:p>
    <w:p w14:paraId="449B1C33">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积极推进产学研一体化，注册品牌自主生产红酒、白酒等特色产品。其中，校企共同研发的“芪贝勒”品牌，以内蒙古特色资源为依托，融合高科技元素，成为区域特色生态品牌。这一过程中，学生参与了产品研发、生产、推广等环节，积累了实战经验。将科研成果引入教学过程，促进教学内容的更新和教学质量的提升。</w:t>
      </w:r>
    </w:p>
    <w:p w14:paraId="1F33F28D">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鼓励学生参加</w:t>
      </w:r>
      <w:r>
        <w:rPr>
          <w:rFonts w:hint="eastAsia" w:ascii="宋体" w:hAnsi="宋体" w:eastAsia="宋体" w:cs="宋体"/>
          <w:color w:val="000000" w:themeColor="text1"/>
          <w:sz w:val="24"/>
          <w:szCs w:val="24"/>
          <w:lang w:eastAsia="zh-CN"/>
          <w14:textFill>
            <w14:solidFill>
              <w14:schemeClr w14:val="tx1"/>
            </w14:solidFill>
          </w14:textFill>
        </w:rPr>
        <w:t>创新创业大赛，</w:t>
      </w:r>
      <w:r>
        <w:rPr>
          <w:rFonts w:hint="eastAsia" w:ascii="宋体" w:hAnsi="宋体" w:eastAsia="宋体" w:cs="宋体"/>
          <w:color w:val="000000" w:themeColor="text1"/>
          <w:sz w:val="24"/>
          <w:szCs w:val="24"/>
          <w:lang w:val="en-US" w:eastAsia="zh-CN"/>
          <w14:textFill>
            <w14:solidFill>
              <w14:schemeClr w14:val="tx1"/>
            </w14:solidFill>
          </w14:textFill>
        </w:rPr>
        <w:t>在2025年自治区创新创业大赛中我校</w:t>
      </w:r>
      <w:r>
        <w:rPr>
          <w:rFonts w:hint="eastAsia" w:ascii="宋体" w:hAnsi="宋体" w:eastAsia="宋体" w:cs="宋体"/>
          <w:color w:val="000000" w:themeColor="text1"/>
          <w:sz w:val="24"/>
          <w:szCs w:val="24"/>
          <w:lang w:eastAsia="zh-CN"/>
          <w14:textFill>
            <w14:solidFill>
              <w14:schemeClr w14:val="tx1"/>
            </w14:solidFill>
          </w14:textFill>
        </w:rPr>
        <w:t>荣获三等奖</w:t>
      </w:r>
      <w:r>
        <w:rPr>
          <w:rFonts w:hint="eastAsia" w:ascii="宋体" w:hAnsi="宋体" w:eastAsia="宋体" w:cs="宋体"/>
          <w:color w:val="000000" w:themeColor="text1"/>
          <w:sz w:val="24"/>
          <w:szCs w:val="24"/>
          <w:lang w:val="en-US" w:eastAsia="zh-CN"/>
          <w14:textFill>
            <w14:solidFill>
              <w14:schemeClr w14:val="tx1"/>
            </w14:solidFill>
          </w14:textFill>
        </w:rPr>
        <w:t>一项</w:t>
      </w:r>
      <w:r>
        <w:rPr>
          <w:rFonts w:hint="eastAsia" w:ascii="宋体" w:hAnsi="宋体" w:eastAsia="宋体" w:cs="宋体"/>
          <w:color w:val="000000" w:themeColor="text1"/>
          <w:sz w:val="24"/>
          <w:szCs w:val="24"/>
          <w:lang w:eastAsia="zh-CN"/>
          <w14:textFill>
            <w14:solidFill>
              <w14:schemeClr w14:val="tx1"/>
            </w14:solidFill>
          </w14:textFill>
        </w:rPr>
        <w:t>，优胜奖</w:t>
      </w:r>
      <w:r>
        <w:rPr>
          <w:rFonts w:hint="eastAsia" w:ascii="宋体" w:hAnsi="宋体" w:eastAsia="宋体" w:cs="宋体"/>
          <w:color w:val="000000" w:themeColor="text1"/>
          <w:sz w:val="24"/>
          <w:szCs w:val="24"/>
          <w:lang w:val="en-US" w:eastAsia="zh-CN"/>
          <w14:textFill>
            <w14:solidFill>
              <w14:schemeClr w14:val="tx1"/>
            </w14:solidFill>
          </w14:textFill>
        </w:rPr>
        <w:t>一项</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通过创新创业大赛等平台，展示了学生的创新成果和创业项目。这不仅为学生提供了更多的就业机会和创业机会，还促进了教育与产业的良性互动，实现了教育、科技与产业的深度融合。</w:t>
      </w:r>
    </w:p>
    <w:p w14:paraId="0B908C2E">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w:t>
      </w:r>
      <w:r>
        <w:rPr>
          <w:rFonts w:hint="eastAsia" w:ascii="黑体" w:hAnsi="黑体" w:eastAsia="黑体" w:cs="黑体"/>
          <w:b/>
          <w:bCs/>
          <w:color w:val="000000" w:themeColor="text1"/>
          <w:sz w:val="28"/>
          <w:szCs w:val="28"/>
          <w:lang w:val="en-US" w:eastAsia="zh-CN"/>
          <w14:textFill>
            <w14:solidFill>
              <w14:schemeClr w14:val="tx1"/>
            </w14:solidFill>
          </w14:textFill>
        </w:rPr>
        <w:t>10培养规模</w:t>
      </w:r>
    </w:p>
    <w:p w14:paraId="3D4C0EA5">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pPr>
      <w:r>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t>学校的培养规模不断扩大，我校建立了多层次、多类型、广覆盖的人才培养体系，构建了以中等职业教育为主体，融合技师教育、国开大学学历教育及职业技能培训的多元化培养体系。为了满足学生的学习需求，学校投资6000万元，新建和改造了62间实训室1栋宿舍楼，为学生提供了良好的学习和生活环境。同时，加强师资队伍建设，不断招聘具有研究生学历教师，提高教师队伍的整体素质，为培养规模扩大提供了有力保障。</w:t>
      </w:r>
    </w:p>
    <w:p w14:paraId="42D1DFC0">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黑体" w:hAnsi="黑体" w:eastAsia="黑体" w:cs="黑体"/>
          <w:b/>
          <w:bCs/>
          <w:color w:val="000000" w:themeColor="text1"/>
          <w:sz w:val="24"/>
          <w:szCs w:val="24"/>
          <w:shd w:val="clear" w:color="auto" w:fill="FFFFFF"/>
          <w:lang w:val="en-US" w:eastAsia="zh-CN"/>
          <w14:textFill>
            <w14:solidFill>
              <w14:schemeClr w14:val="tx1"/>
            </w14:solidFill>
          </w14:textFill>
        </w:rPr>
      </w:pPr>
      <w:r>
        <w:rPr>
          <w:rFonts w:hint="eastAsia" w:ascii="黑体" w:hAnsi="黑体" w:eastAsia="黑体" w:cs="黑体"/>
          <w:b/>
          <w:bCs/>
          <w:color w:val="000000" w:themeColor="text1"/>
          <w:sz w:val="24"/>
          <w:szCs w:val="24"/>
          <w:shd w:val="clear" w:color="auto" w:fill="FFFFFF"/>
          <w:lang w:val="en-US" w:eastAsia="zh-CN"/>
          <w14:textFill>
            <w14:solidFill>
              <w14:schemeClr w14:val="tx1"/>
            </w14:solidFill>
          </w14:textFill>
        </w:rPr>
        <w:t>学历教育规模</w:t>
      </w:r>
    </w:p>
    <w:p w14:paraId="6EA82941">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pPr>
      <w:r>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t>中职教育。开设护理、计算机应用、幼儿保育、旅游服务与管理、作物生产技术、畜禽生产技术、汽车运用与维修、机电技术应用、数控技术应用等10个专业，现有教学班61个，全日制在校学生人数达到2119人。</w:t>
      </w:r>
    </w:p>
    <w:p w14:paraId="16F198AD">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pPr>
      <w:r>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t>技师教育。设置电子技术应用、汽车维修、机床切削加工（车工）、焊接加工、数控加工（铣工）、计算机网络应用等6个专业类别，涵盖预备技师、高级技工和中级技工教育，形成“中级工－高级工－预备技师”贯通培养路径。</w:t>
      </w:r>
    </w:p>
    <w:p w14:paraId="5EBFE052">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pPr>
      <w:r>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t>国家开放大学学历教育：作为开放教育基地，为地方提供成人专科、本科学历提升通道，年招生规模稳定在500人以上，服务在职人员职业晋升需求。</w:t>
      </w:r>
    </w:p>
    <w:p w14:paraId="410F3DD6">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both"/>
        <w:textAlignment w:val="auto"/>
        <w:rPr>
          <w:rFonts w:hint="eastAsia" w:ascii="黑体" w:hAnsi="黑体" w:eastAsia="黑体" w:cs="黑体"/>
          <w:b/>
          <w:bCs/>
          <w:color w:val="000000" w:themeColor="text1"/>
          <w:sz w:val="24"/>
          <w:szCs w:val="24"/>
          <w:shd w:val="clear" w:color="auto" w:fill="FFFFFF"/>
          <w:lang w:val="en-US" w:eastAsia="zh-CN"/>
          <w14:textFill>
            <w14:solidFill>
              <w14:schemeClr w14:val="tx1"/>
            </w14:solidFill>
          </w14:textFill>
        </w:rPr>
      </w:pPr>
      <w:r>
        <w:rPr>
          <w:rFonts w:hint="eastAsia" w:ascii="黑体" w:hAnsi="黑体" w:eastAsia="黑体" w:cs="黑体"/>
          <w:b/>
          <w:bCs/>
          <w:color w:val="000000" w:themeColor="text1"/>
          <w:sz w:val="24"/>
          <w:szCs w:val="24"/>
          <w:shd w:val="clear" w:color="auto" w:fill="FFFFFF"/>
          <w:lang w:val="en-US" w:eastAsia="zh-CN"/>
          <w14:textFill>
            <w14:solidFill>
              <w14:schemeClr w14:val="tx1"/>
            </w14:solidFill>
          </w14:textFill>
        </w:rPr>
        <w:t>职业技能培训规模</w:t>
      </w:r>
    </w:p>
    <w:p w14:paraId="0EBB3AB8">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b w:val="0"/>
          <w:bCs w:val="0"/>
          <w:color w:val="auto"/>
          <w:sz w:val="24"/>
          <w:szCs w:val="24"/>
          <w:shd w:val="clear" w:color="auto" w:fill="FFFFFF"/>
          <w:lang w:val="en-US" w:eastAsia="zh-CN"/>
        </w:rPr>
      </w:pPr>
      <w:r>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t>年培训量。作为国家级高技能人才培训基地，年均开展技能培</w:t>
      </w:r>
      <w:r>
        <w:rPr>
          <w:rFonts w:hint="eastAsia" w:ascii="宋体" w:hAnsi="宋体" w:eastAsia="宋体" w:cs="宋体"/>
          <w:b w:val="0"/>
          <w:bCs w:val="0"/>
          <w:color w:val="auto"/>
          <w:sz w:val="24"/>
          <w:szCs w:val="24"/>
          <w:shd w:val="clear" w:color="auto" w:fill="FFFFFF"/>
          <w:lang w:val="en-US" w:eastAsia="zh-CN"/>
        </w:rPr>
        <w:t>训约5000人次，涵盖农牧业技术、电工焊工、家政服务、电子商务等20余个工种，技能鉴定4000人次，合格率超95%。</w:t>
      </w:r>
    </w:p>
    <w:p w14:paraId="5E695B1D">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pPr>
      <w:r>
        <w:rPr>
          <w:rFonts w:hint="eastAsia" w:ascii="宋体" w:hAnsi="宋体" w:eastAsia="宋体" w:cs="宋体"/>
          <w:b w:val="0"/>
          <w:bCs w:val="0"/>
          <w:color w:val="auto"/>
          <w:sz w:val="24"/>
          <w:szCs w:val="24"/>
          <w:shd w:val="clear" w:color="auto" w:fill="FFFFFF"/>
          <w:lang w:val="en-US" w:eastAsia="zh-CN"/>
        </w:rPr>
        <w:t>合作网络。与60余家企业合作，建立“订单班”“校中厂”，如与哈尔滨第一</w:t>
      </w:r>
      <w:r>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t>工具制造有限公司共建数控实训基地，年输送企业学徒200余人；与内蒙古第一机械集团合作开展军品零件加工培训，年培养高技能人才150人。</w:t>
      </w:r>
    </w:p>
    <w:p w14:paraId="00942EA0">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w:t>
      </w:r>
      <w:r>
        <w:rPr>
          <w:rFonts w:hint="eastAsia" w:ascii="黑体" w:hAnsi="黑体" w:eastAsia="黑体" w:cs="黑体"/>
          <w:b/>
          <w:bCs/>
          <w:color w:val="000000" w:themeColor="text1"/>
          <w:sz w:val="28"/>
          <w:szCs w:val="28"/>
          <w:lang w:val="en-US" w:eastAsia="zh-CN"/>
          <w14:textFill>
            <w14:solidFill>
              <w14:schemeClr w14:val="tx1"/>
            </w14:solidFill>
          </w14:textFill>
        </w:rPr>
        <w:t>11技能大赛</w:t>
      </w:r>
    </w:p>
    <w:p w14:paraId="697F7CDE">
      <w:pPr>
        <w:pStyle w:val="2"/>
        <w:keepNext w:val="0"/>
        <w:keepLines w:val="0"/>
        <w:pageBreakBefore w:val="0"/>
        <w:widowControl w:val="0"/>
        <w:kinsoku/>
        <w:wordWrap/>
        <w:overflowPunct/>
        <w:topLinePunct w:val="0"/>
        <w:autoSpaceDE/>
        <w:autoSpaceDN/>
        <w:bidi w:val="0"/>
        <w:adjustRightInd/>
        <w:snapToGrid/>
        <w:spacing w:after="0"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学校持续深入推进专业社团建设，全面优化实训课程体系，着力提升实训课开出率与教学实效。在系统化、多元化的实践平台上，学生得以拓展专业外延知识与综合技能，显著增强了学习主动性与探索兴趣。通过丰富多样的社团活动与实训环节，学生个性特长获得充分发展，动手能力与创新思维得到有效锻炼，在身心协调发展的过程中，综合素质稳步提升。</w:t>
      </w:r>
    </w:p>
    <w:p w14:paraId="5504F225">
      <w:pPr>
        <w:pStyle w:val="2"/>
        <w:keepNext w:val="0"/>
        <w:keepLines w:val="0"/>
        <w:pageBreakBefore w:val="0"/>
        <w:widowControl w:val="0"/>
        <w:kinsoku/>
        <w:wordWrap/>
        <w:overflowPunct/>
        <w:topLinePunct w:val="0"/>
        <w:autoSpaceDE/>
        <w:autoSpaceDN/>
        <w:bidi w:val="0"/>
        <w:adjustRightInd/>
        <w:snapToGrid/>
        <w:spacing w:after="0"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学生逐渐树立起对专业的认同与热爱，形成了刻苦钻研、精益求精的学风，工匠精神在实践浸润中不断孕育。这一育人成效也直接体现在各级技能竞赛中，学校技能大赛成绩逐年攀升，成果丰硕</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学生在自治区</w:t>
      </w:r>
      <w:r>
        <w:rPr>
          <w:rFonts w:hint="eastAsia" w:ascii="宋体" w:hAnsi="宋体" w:eastAsia="宋体" w:cs="宋体"/>
          <w:color w:val="000000" w:themeColor="text1"/>
          <w:sz w:val="24"/>
          <w:szCs w:val="24"/>
          <w:lang w:val="en-US" w:eastAsia="zh-CN"/>
          <w14:textFill>
            <w14:solidFill>
              <w14:schemeClr w14:val="tx1"/>
            </w14:solidFill>
          </w14:textFill>
        </w:rPr>
        <w:t>级</w:t>
      </w:r>
      <w:r>
        <w:rPr>
          <w:rFonts w:hint="eastAsia" w:ascii="宋体" w:hAnsi="宋体" w:eastAsia="宋体" w:cs="宋体"/>
          <w:color w:val="000000" w:themeColor="text1"/>
          <w:sz w:val="24"/>
          <w:szCs w:val="24"/>
          <w14:textFill>
            <w14:solidFill>
              <w14:schemeClr w14:val="tx1"/>
            </w14:solidFill>
          </w14:textFill>
        </w:rPr>
        <w:t>技能大赛中获得</w:t>
      </w:r>
      <w:r>
        <w:rPr>
          <w:rFonts w:hint="eastAsia" w:ascii="宋体" w:hAnsi="宋体" w:eastAsia="宋体" w:cs="宋体"/>
          <w:color w:val="000000" w:themeColor="text1"/>
          <w:sz w:val="24"/>
          <w:szCs w:val="24"/>
          <w:lang w:val="en-US" w:eastAsia="zh-CN"/>
          <w14:textFill>
            <w14:solidFill>
              <w14:schemeClr w14:val="tx1"/>
            </w14:solidFill>
          </w14:textFill>
        </w:rPr>
        <w:t>一</w:t>
      </w:r>
      <w:r>
        <w:rPr>
          <w:rFonts w:hint="eastAsia" w:ascii="宋体" w:hAnsi="宋体" w:eastAsia="宋体" w:cs="宋体"/>
          <w:color w:val="000000" w:themeColor="text1"/>
          <w:sz w:val="24"/>
          <w:szCs w:val="24"/>
          <w14:textFill>
            <w14:solidFill>
              <w14:schemeClr w14:val="tx1"/>
            </w14:solidFill>
          </w14:textFill>
        </w:rPr>
        <w:t>等奖1项、</w:t>
      </w:r>
      <w:r>
        <w:rPr>
          <w:rFonts w:hint="eastAsia" w:ascii="宋体" w:hAnsi="宋体" w:eastAsia="宋体" w:cs="宋体"/>
          <w:color w:val="000000" w:themeColor="text1"/>
          <w:sz w:val="24"/>
          <w:szCs w:val="24"/>
          <w:lang w:val="en-US" w:eastAsia="zh-CN"/>
          <w14:textFill>
            <w14:solidFill>
              <w14:schemeClr w14:val="tx1"/>
            </w14:solidFill>
          </w14:textFill>
        </w:rPr>
        <w:t>二等奖4项；</w:t>
      </w:r>
      <w:r>
        <w:rPr>
          <w:rFonts w:hint="eastAsia" w:ascii="宋体" w:hAnsi="宋体" w:eastAsia="宋体" w:cs="宋体"/>
          <w:color w:val="000000" w:themeColor="text1"/>
          <w:sz w:val="24"/>
          <w:szCs w:val="24"/>
          <w14:textFill>
            <w14:solidFill>
              <w14:schemeClr w14:val="tx1"/>
            </w14:solidFill>
          </w14:textFill>
        </w:rPr>
        <w:t>三等奖</w:t>
      </w:r>
      <w:r>
        <w:rPr>
          <w:rFonts w:hint="eastAsia" w:ascii="宋体" w:hAnsi="宋体" w:eastAsia="宋体" w:cs="宋体"/>
          <w:color w:val="000000" w:themeColor="text1"/>
          <w:sz w:val="24"/>
          <w:szCs w:val="24"/>
          <w:lang w:val="en-US" w:eastAsia="zh-CN"/>
          <w14:textFill>
            <w14:solidFill>
              <w14:schemeClr w14:val="tx1"/>
            </w14:solidFill>
          </w14:textFill>
        </w:rPr>
        <w:t>10</w:t>
      </w:r>
      <w:r>
        <w:rPr>
          <w:rFonts w:hint="eastAsia" w:ascii="宋体" w:hAnsi="宋体" w:eastAsia="宋体" w:cs="宋体"/>
          <w:color w:val="000000" w:themeColor="text1"/>
          <w:sz w:val="24"/>
          <w:szCs w:val="24"/>
          <w14:textFill>
            <w14:solidFill>
              <w14:schemeClr w14:val="tx1"/>
            </w14:solidFill>
          </w14:textFill>
        </w:rPr>
        <w:t>项；在巴彦淖尔市</w:t>
      </w:r>
      <w:r>
        <w:rPr>
          <w:rFonts w:hint="eastAsia" w:ascii="宋体" w:hAnsi="宋体" w:eastAsia="宋体" w:cs="宋体"/>
          <w:color w:val="000000" w:themeColor="text1"/>
          <w:sz w:val="24"/>
          <w:szCs w:val="24"/>
          <w:lang w:val="en-US" w:eastAsia="zh-CN"/>
          <w14:textFill>
            <w14:solidFill>
              <w14:schemeClr w14:val="tx1"/>
            </w14:solidFill>
          </w14:textFill>
        </w:rPr>
        <w:t>科技、</w:t>
      </w:r>
      <w:r>
        <w:rPr>
          <w:rFonts w:hint="eastAsia" w:ascii="宋体" w:hAnsi="宋体" w:eastAsia="宋体" w:cs="宋体"/>
          <w:color w:val="000000" w:themeColor="text1"/>
          <w:sz w:val="24"/>
          <w:szCs w:val="24"/>
          <w14:textFill>
            <w14:solidFill>
              <w14:schemeClr w14:val="tx1"/>
            </w14:solidFill>
          </w14:textFill>
        </w:rPr>
        <w:t>技能大赛中，学生表现突出，共获一等奖</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项、二等奖</w:t>
      </w:r>
      <w:r>
        <w:rPr>
          <w:rFonts w:hint="eastAsia" w:ascii="宋体" w:hAnsi="宋体" w:eastAsia="宋体" w:cs="宋体"/>
          <w:color w:val="000000" w:themeColor="text1"/>
          <w:sz w:val="24"/>
          <w:szCs w:val="24"/>
          <w:lang w:val="en-US" w:eastAsia="zh-CN"/>
          <w14:textFill>
            <w14:solidFill>
              <w14:schemeClr w14:val="tx1"/>
            </w14:solidFill>
          </w14:textFill>
        </w:rPr>
        <w:t>8</w:t>
      </w:r>
      <w:r>
        <w:rPr>
          <w:rFonts w:hint="eastAsia" w:ascii="宋体" w:hAnsi="宋体" w:eastAsia="宋体" w:cs="宋体"/>
          <w:color w:val="000000" w:themeColor="text1"/>
          <w:sz w:val="24"/>
          <w:szCs w:val="24"/>
          <w14:textFill>
            <w14:solidFill>
              <w14:schemeClr w14:val="tx1"/>
            </w14:solidFill>
          </w14:textFill>
        </w:rPr>
        <w:t>项、三等奖</w:t>
      </w:r>
      <w:r>
        <w:rPr>
          <w:rFonts w:hint="eastAsia" w:ascii="宋体" w:hAnsi="宋体" w:eastAsia="宋体" w:cs="宋体"/>
          <w:color w:val="000000" w:themeColor="text1"/>
          <w:sz w:val="24"/>
          <w:szCs w:val="24"/>
          <w:lang w:val="en-US" w:eastAsia="zh-CN"/>
          <w14:textFill>
            <w14:solidFill>
              <w14:schemeClr w14:val="tx1"/>
            </w14:solidFill>
          </w14:textFill>
        </w:rPr>
        <w:t>7</w:t>
      </w:r>
      <w:r>
        <w:rPr>
          <w:rFonts w:hint="eastAsia" w:ascii="宋体" w:hAnsi="宋体" w:eastAsia="宋体" w:cs="宋体"/>
          <w:color w:val="000000" w:themeColor="text1"/>
          <w:sz w:val="24"/>
          <w:szCs w:val="24"/>
          <w14:textFill>
            <w14:solidFill>
              <w14:schemeClr w14:val="tx1"/>
            </w14:solidFill>
          </w14:textFill>
        </w:rPr>
        <w:t>项，展现了</w:t>
      </w:r>
      <w:r>
        <w:rPr>
          <w:rFonts w:hint="eastAsia" w:ascii="宋体" w:hAnsi="宋体" w:eastAsia="宋体" w:cs="宋体"/>
          <w:color w:val="000000" w:themeColor="text1"/>
          <w:sz w:val="24"/>
          <w:szCs w:val="24"/>
          <w:lang w:val="en-US" w:eastAsia="zh-CN"/>
          <w14:textFill>
            <w14:solidFill>
              <w14:schemeClr w14:val="tx1"/>
            </w14:solidFill>
          </w14:textFill>
        </w:rPr>
        <w:t>学校</w:t>
      </w:r>
      <w:r>
        <w:rPr>
          <w:rFonts w:hint="eastAsia" w:ascii="宋体" w:hAnsi="宋体" w:eastAsia="宋体" w:cs="宋体"/>
          <w:color w:val="000000" w:themeColor="text1"/>
          <w:sz w:val="24"/>
          <w:szCs w:val="24"/>
          <w14:textFill>
            <w14:solidFill>
              <w14:schemeClr w14:val="tx1"/>
            </w14:solidFill>
          </w14:textFill>
        </w:rPr>
        <w:t>扎实的专业技能与良好的竞技风貌。学校将继续坚持以实践促教学、以活动育人才，推动专业技能培养与综合素质提升深度融合，为学生成长成才奠定坚实基础。</w:t>
      </w:r>
    </w:p>
    <w:p w14:paraId="7DD1B009">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w:t>
      </w:r>
      <w:r>
        <w:rPr>
          <w:rFonts w:hint="eastAsia" w:ascii="黑体" w:hAnsi="黑体" w:eastAsia="黑体" w:cs="黑体"/>
          <w:b/>
          <w:bCs/>
          <w:color w:val="000000" w:themeColor="text1"/>
          <w:sz w:val="28"/>
          <w:szCs w:val="28"/>
          <w:lang w:val="en-US" w:eastAsia="zh-CN"/>
          <w14:textFill>
            <w14:solidFill>
              <w14:schemeClr w14:val="tx1"/>
            </w14:solidFill>
          </w14:textFill>
        </w:rPr>
        <w:t>12创新创业</w:t>
      </w:r>
    </w:p>
    <w:p w14:paraId="6299C20C">
      <w:pPr>
        <w:pStyle w:val="1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440" w:lineRule="exact"/>
        <w:ind w:left="0" w:firstLine="480" w:firstLineChars="200"/>
        <w:jc w:val="both"/>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学校以“加快建设、狠抓质量、争创培训品牌、增强创新创业能力”为指导思想，以全市一流的实训条件积极开展各类培训和技能认定，不断提升培训质量，打造培训品牌。一是加大宣传，把“农民学技术，政府给补助”的优惠政策和学校的优质培训传播到千家万户，吸引更多的农牧民学习受益。二是创新培训模式，加大企业新型学徒制培训力度。三是优化师资队伍结构，加强教学管理。四是强化实操训练，打造培训品牌。五是适当开设综合素质提升课程，促进学员全面发展。经过学校培训的学员们学有所获、学有所成，就业创业能力</w:t>
      </w:r>
      <w:r>
        <w:rPr>
          <w:rFonts w:hint="eastAsia" w:ascii="宋体" w:hAnsi="宋体" w:cs="宋体"/>
          <w:color w:val="000000" w:themeColor="text1"/>
          <w:kern w:val="2"/>
          <w:sz w:val="24"/>
          <w:szCs w:val="24"/>
          <w:lang w:val="en-US" w:eastAsia="zh-CN" w:bidi="ar-SA"/>
          <w14:textFill>
            <w14:solidFill>
              <w14:schemeClr w14:val="tx1"/>
            </w14:solidFill>
          </w14:textFill>
        </w:rPr>
        <w:t>极大</w:t>
      </w:r>
      <w:r>
        <w:rPr>
          <w:rFonts w:hint="eastAsia" w:ascii="宋体" w:hAnsi="宋体" w:eastAsia="宋体" w:cs="宋体"/>
          <w:color w:val="000000" w:themeColor="text1"/>
          <w:kern w:val="2"/>
          <w:sz w:val="24"/>
          <w:szCs w:val="24"/>
          <w:lang w:val="en-US" w:eastAsia="zh-CN" w:bidi="ar-SA"/>
          <w14:textFill>
            <w14:solidFill>
              <w14:schemeClr w14:val="tx1"/>
            </w14:solidFill>
          </w14:textFill>
        </w:rPr>
        <w:t>增强，满意度较高。尤其是电工、焊工、中西面点师、育婴师、保育师、养老护理员、汽车维修工、创业培训等的工种培训深受学员好评，形成了良好的社会声誉和影响，逐步形成了培训的品牌效应，乡村振兴学院和农牧民培训学校运行规范，大大促进了我旗职成教育的健康发展，为产业转型升级提供了技术技能型人才的支撑，促进了就业创业和脱贫增收致富，较好地服务了地方经济的发展。</w:t>
      </w:r>
    </w:p>
    <w:p w14:paraId="3A4F1590">
      <w:pPr>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w:t>
      </w:r>
      <w:r>
        <w:rPr>
          <w:rFonts w:hint="eastAsia" w:ascii="黑体" w:hAnsi="黑体" w:eastAsia="黑体" w:cs="黑体"/>
          <w:b/>
          <w:bCs/>
          <w:color w:val="000000" w:themeColor="text1"/>
          <w:sz w:val="28"/>
          <w:szCs w:val="28"/>
          <w:lang w:val="en-US" w:eastAsia="zh-CN"/>
          <w14:textFill>
            <w14:solidFill>
              <w14:schemeClr w14:val="tx1"/>
            </w14:solidFill>
          </w14:textFill>
        </w:rPr>
        <w:t>13培养质量</w:t>
      </w:r>
    </w:p>
    <w:p w14:paraId="6B18CE9A">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t>学校贯彻产教融合驱动，技能与素养并重的思想，以“德技双馨”为目标，通过产教深度融合、课程体系改革和赛事驱动，构建“技能培养+职业素养+升学通道”三维质量保障体系。</w:t>
      </w:r>
    </w:p>
    <w:p w14:paraId="2C51871C">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2" w:firstLineChars="200"/>
        <w:textAlignment w:val="auto"/>
        <w:rPr>
          <w:rFonts w:hint="eastAsia" w:ascii="黑体" w:hAnsi="黑体" w:eastAsia="黑体" w:cs="黑体"/>
          <w:b/>
          <w:bCs/>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24"/>
          <w:szCs w:val="24"/>
          <w:highlight w:val="none"/>
          <w:vertAlign w:val="baseline"/>
          <w:lang w:val="en-US" w:eastAsia="zh-CN" w:bidi="ar-SA"/>
          <w14:textFill>
            <w14:solidFill>
              <w14:schemeClr w14:val="tx1"/>
            </w14:solidFill>
          </w14:textFill>
        </w:rPr>
        <w:t>产教融合提升技能适配性</w:t>
      </w:r>
    </w:p>
    <w:p w14:paraId="672DB641">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t>校企协同育人：推行“学生→学徒→准员工→员工”渐进式培养模式，与天津长城哈弗汽车、拓乐汽修等企业共建实训基地，引入企业真实生产案例，实现“课程内容与职业标准对接、教学过程与工作过程对接”。</w:t>
      </w:r>
    </w:p>
    <w:p w14:paraId="1FEA2DDF">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t>实训条件保障：建成60余个主体实训室及产教融合大楼，配备数控加工中心、汽车维修实训台等先进设备，生均实训设备值达1.6万元，远超全区中职校平均水平。</w:t>
      </w:r>
    </w:p>
    <w:p w14:paraId="49694917">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t>就业质量。毕业生就业率连续五年保持96%以上，对口升学率达90%，用人单位满意度超95%。</w:t>
      </w:r>
    </w:p>
    <w:p w14:paraId="542B461B">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2" w:firstLineChars="200"/>
        <w:textAlignment w:val="auto"/>
        <w:rPr>
          <w:rFonts w:hint="eastAsia" w:ascii="黑体" w:hAnsi="黑体" w:eastAsia="黑体" w:cs="黑体"/>
          <w:b/>
          <w:bCs/>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24"/>
          <w:szCs w:val="24"/>
          <w:highlight w:val="none"/>
          <w:vertAlign w:val="baseline"/>
          <w:lang w:val="en-US" w:eastAsia="zh-CN" w:bidi="ar-SA"/>
          <w14:textFill>
            <w14:solidFill>
              <w14:schemeClr w14:val="tx1"/>
            </w14:solidFill>
          </w14:textFill>
        </w:rPr>
        <w:t>课程体系改革强化核心素养</w:t>
      </w:r>
    </w:p>
    <w:p w14:paraId="4AC7084C">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t>“三全育人”模式。构建全员、全程、全方位育人体系，通过军事化教育、感恩教育、法治教育等专题课程，以及校园文体艺术节、远足拉练等传统活动，培养学生“有责任、会生活”的现代职业人素养。</w:t>
      </w:r>
    </w:p>
    <w:p w14:paraId="6396A6FD">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t>教学模式创新。推行“导学互动+小组合作”“理实一体化”“新型学徒制”等教学模式，文化课与专业理论课注重思维培养，专业技能课强化实操训练，近三年学生技能大赛获市级奖项102项、自治区级奖项25项。</w:t>
      </w:r>
    </w:p>
    <w:p w14:paraId="73AB112C">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宋体" w:hAnsi="宋体" w:eastAsia="宋体" w:cs="宋体"/>
          <w:b w:val="0"/>
          <w:bCs w:val="0"/>
          <w:i w:val="0"/>
          <w:iCs w:val="0"/>
          <w:color w:val="000000" w:themeColor="text1"/>
          <w:kern w:val="2"/>
          <w:sz w:val="24"/>
          <w:szCs w:val="24"/>
          <w:highlight w:val="none"/>
          <w:vertAlign w:val="baseline"/>
          <w:lang w:val="en-US" w:eastAsia="zh-CN" w:bidi="ar-SA"/>
          <w14:textFill>
            <w14:solidFill>
              <w14:schemeClr w14:val="tx1"/>
            </w14:solidFill>
          </w14:textFill>
        </w:rPr>
        <w:t>升学通道畅通。建立“升学与就业并重”机制，通过升学课程体系支持学生继续深造。2025年对口升学考试本科上线120人，形成“中职—高职—本科”纵向贯通培养路径。</w:t>
      </w:r>
    </w:p>
    <w:p w14:paraId="23A79E15">
      <w:pPr>
        <w:pageBreakBefore w:val="0"/>
        <w:overflowPunct/>
        <w:topLinePunct w:val="0"/>
        <w:bidi w:val="0"/>
        <w:spacing w:line="440" w:lineRule="exact"/>
        <w:ind w:firstLine="562" w:firstLineChars="200"/>
        <w:jc w:val="both"/>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1.</w:t>
      </w:r>
      <w:r>
        <w:rPr>
          <w:rFonts w:hint="eastAsia" w:ascii="黑体" w:hAnsi="黑体" w:eastAsia="黑体" w:cs="黑体"/>
          <w:b/>
          <w:bCs/>
          <w:color w:val="000000" w:themeColor="text1"/>
          <w:sz w:val="28"/>
          <w:szCs w:val="28"/>
          <w:lang w:val="en-US" w:eastAsia="zh-CN"/>
          <w14:textFill>
            <w14:solidFill>
              <w14:schemeClr w14:val="tx1"/>
            </w14:solidFill>
          </w14:textFill>
        </w:rPr>
        <w:t>14其他人才培养方面特色工作</w:t>
      </w:r>
    </w:p>
    <w:p w14:paraId="326A7B4F">
      <w:pPr>
        <w:pStyle w:val="2"/>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textAlignment w:val="auto"/>
        <w:rPr>
          <w:rFonts w:hint="eastAsia" w:ascii="仿宋" w:hAnsi="仿宋" w:eastAsia="仿宋" w:cs="仿宋"/>
          <w:b/>
          <w:bCs/>
          <w:i w:val="0"/>
          <w:iCs w:val="0"/>
          <w:color w:val="000000" w:themeColor="text1"/>
          <w:kern w:val="2"/>
          <w:sz w:val="30"/>
          <w:szCs w:val="30"/>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30"/>
          <w:szCs w:val="30"/>
          <w:highlight w:val="none"/>
          <w:vertAlign w:val="baseline"/>
          <w:lang w:val="en-US" w:eastAsia="zh-CN" w:bidi="ar-SA"/>
          <w14:textFill>
            <w14:solidFill>
              <w14:schemeClr w14:val="tx1"/>
            </w14:solidFill>
          </w14:textFill>
        </w:rPr>
        <w:t xml:space="preserve">案例1-1  </w:t>
      </w:r>
      <w:r>
        <w:rPr>
          <w:rFonts w:hint="eastAsia" w:cs="仿宋"/>
          <w:b/>
          <w:bCs/>
          <w:i w:val="0"/>
          <w:iCs w:val="0"/>
          <w:color w:val="000000" w:themeColor="text1"/>
          <w:kern w:val="2"/>
          <w:sz w:val="32"/>
          <w:szCs w:val="24"/>
          <w:highlight w:val="none"/>
          <w:vertAlign w:val="baseline"/>
          <w:lang w:val="en-US" w:eastAsia="zh-CN" w:bidi="ar-SA"/>
          <w14:textFill>
            <w14:solidFill>
              <w14:schemeClr w14:val="tx1"/>
            </w14:solidFill>
          </w14:textFill>
        </w:rPr>
        <w:t xml:space="preserve"> </w:t>
      </w:r>
      <w:r>
        <w:rPr>
          <w:rFonts w:hint="eastAsia" w:cs="仿宋"/>
          <w:b w:val="0"/>
          <w:bCs w:val="0"/>
          <w:i w:val="0"/>
          <w:iCs w:val="0"/>
          <w:color w:val="000000" w:themeColor="text1"/>
          <w:kern w:val="2"/>
          <w:sz w:val="32"/>
          <w:szCs w:val="24"/>
          <w:highlight w:val="none"/>
          <w:vertAlign w:val="baseline"/>
          <w:lang w:val="en-US" w:eastAsia="zh-CN" w:bidi="ar-SA"/>
          <w14:textFill>
            <w14:solidFill>
              <w14:schemeClr w14:val="tx1"/>
            </w14:solidFill>
          </w14:textFill>
        </w:rPr>
        <w:t xml:space="preserve">           </w:t>
      </w:r>
      <w:r>
        <w:rPr>
          <w:rFonts w:hint="eastAsia" w:ascii="仿宋" w:hAnsi="仿宋" w:eastAsia="仿宋" w:cs="仿宋"/>
          <w:b/>
          <w:bCs/>
          <w:i w:val="0"/>
          <w:iCs w:val="0"/>
          <w:color w:val="000000" w:themeColor="text1"/>
          <w:kern w:val="2"/>
          <w:sz w:val="30"/>
          <w:szCs w:val="30"/>
          <w:highlight w:val="none"/>
          <w:vertAlign w:val="baseline"/>
          <w:lang w:val="en-US" w:eastAsia="zh-CN" w:bidi="ar-SA"/>
          <w14:textFill>
            <w14:solidFill>
              <w14:schemeClr w14:val="tx1"/>
            </w14:solidFill>
          </w14:textFill>
        </w:rPr>
        <w:t>双优引领的职教标杆</w:t>
      </w:r>
    </w:p>
    <w:p w14:paraId="066C4A13">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482" w:firstLineChars="200"/>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r>
        <w:rPr>
          <w:rFonts w:hint="eastAsia" w:ascii="仿宋" w:hAnsi="仿宋" w:eastAsia="仿宋" w:cs="仿宋"/>
          <w:b/>
          <w:bCs/>
          <w:sz w:val="24"/>
          <w:szCs w:val="24"/>
          <w:lang w:val="en-US" w:eastAsia="zh-CN"/>
        </w:rPr>
        <w:drawing>
          <wp:anchor distT="0" distB="0" distL="114300" distR="114300" simplePos="0" relativeHeight="251680768" behindDoc="0" locked="0" layoutInCell="1" allowOverlap="1">
            <wp:simplePos x="0" y="0"/>
            <wp:positionH relativeFrom="column">
              <wp:posOffset>-106680</wp:posOffset>
            </wp:positionH>
            <wp:positionV relativeFrom="paragraph">
              <wp:posOffset>1449705</wp:posOffset>
            </wp:positionV>
            <wp:extent cx="5577205" cy="4320540"/>
            <wp:effectExtent l="0" t="0" r="0" b="0"/>
            <wp:wrapNone/>
            <wp:docPr id="12" name="图片 12" descr="4e288987b0fbe0b1b36d2dc770ee089b_com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4e288987b0fbe0b1b36d2dc770ee089b_compress"/>
                    <pic:cNvPicPr>
                      <a:picLocks noChangeAspect="1"/>
                    </pic:cNvPicPr>
                  </pic:nvPicPr>
                  <pic:blipFill>
                    <a:blip r:embed="rId13"/>
                    <a:srcRect l="-11546" t="-25009" r="-11546" b="-25009"/>
                    <a:stretch>
                      <a:fillRect/>
                    </a:stretch>
                  </pic:blipFill>
                  <pic:spPr>
                    <a:xfrm>
                      <a:off x="0" y="0"/>
                      <a:ext cx="5577205" cy="4320540"/>
                    </a:xfrm>
                    <a:prstGeom prst="rect">
                      <a:avLst/>
                    </a:prstGeom>
                  </pic:spPr>
                </pic:pic>
              </a:graphicData>
            </a:graphic>
          </wp:anchor>
        </w:drawing>
      </w:r>
      <w:r>
        <w:rPr>
          <w:rFonts w:hint="eastAsia"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杭锦后旗职业教育中心以“双优”项目建设为契机，斩获全国职业院校教学能力大</w:t>
      </w:r>
      <w:r>
        <w:rPr>
          <w:rFonts w:hint="eastAsia" w:ascii="仿宋" w:hAnsi="仿宋" w:eastAsia="仿宋" w:cs="仿宋"/>
          <w:b/>
          <w:bCs/>
          <w:sz w:val="24"/>
          <w:szCs w:val="24"/>
          <w:lang w:val="en-US" w:eastAsia="zh-CN"/>
        </w:rPr>
        <w:drawing>
          <wp:anchor distT="0" distB="0" distL="114300" distR="114300" simplePos="0" relativeHeight="251681792" behindDoc="0" locked="0" layoutInCell="1" allowOverlap="1">
            <wp:simplePos x="0" y="0"/>
            <wp:positionH relativeFrom="column">
              <wp:posOffset>94615</wp:posOffset>
            </wp:positionH>
            <wp:positionV relativeFrom="paragraph">
              <wp:posOffset>1176655</wp:posOffset>
            </wp:positionV>
            <wp:extent cx="5222240" cy="3916680"/>
            <wp:effectExtent l="0" t="0" r="0" b="0"/>
            <wp:wrapNone/>
            <wp:docPr id="7" name="图片 7" descr="4e288987b0fbe0b1b36d2dc770ee089b_com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4e288987b0fbe0b1b36d2dc770ee089b_compress"/>
                    <pic:cNvPicPr>
                      <a:picLocks noChangeAspect="1"/>
                    </pic:cNvPicPr>
                  </pic:nvPicPr>
                  <pic:blipFill>
                    <a:blip r:embed="rId13"/>
                    <a:srcRect l="-9348" t="-22330" r="-9348" b="-22330"/>
                    <a:stretch>
                      <a:fillRect/>
                    </a:stretch>
                  </pic:blipFill>
                  <pic:spPr>
                    <a:xfrm>
                      <a:off x="0" y="0"/>
                      <a:ext cx="5222240" cy="3916680"/>
                    </a:xfrm>
                    <a:prstGeom prst="rect">
                      <a:avLst/>
                    </a:prstGeom>
                  </pic:spPr>
                </pic:pic>
              </a:graphicData>
            </a:graphic>
          </wp:anchor>
        </w:drawing>
      </w:r>
      <w:r>
        <w:rPr>
          <w:rFonts w:hint="eastAsia"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赛国赛、自治区教学成果奖等百余项标志性成果，稳居全区中职校前列。学校构建“三全五维十融合”德育模式，获评自治区“三全育人”典范，培养“有责任、会生活”的现代青年。深化产教融合，与60余家校企共建“订单班”“校中厂”，创新“9个共同”校企合作模式，成为自治区产教融合示范校。推进数字化转型，建成市级教学资源库，实现“互联网+职业教育”深度融合，年培训技能人才约5000人次，更为区域经济社会发展输送了源源不断的技术技能人才。</w:t>
      </w:r>
    </w:p>
    <w:p w14:paraId="3DD1BA92">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lang w:val="en-US" w:eastAsia="zh-CN"/>
          <w14:textFill>
            <w14:solidFill>
              <w14:schemeClr w14:val="tx1"/>
            </w14:solidFill>
          </w14:textFill>
        </w:rPr>
      </w:pPr>
    </w:p>
    <w:p w14:paraId="7CD1AE55">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lang w:val="en-US" w:eastAsia="zh-CN"/>
          <w14:textFill>
            <w14:solidFill>
              <w14:schemeClr w14:val="tx1"/>
            </w14:solidFill>
          </w14:textFill>
        </w:rPr>
      </w:pPr>
    </w:p>
    <w:p w14:paraId="3FDB5A71">
      <w:pPr>
        <w:pStyle w:val="2"/>
        <w:rPr>
          <w:rFonts w:hint="eastAsia" w:ascii="宋体" w:hAnsi="宋体" w:eastAsia="宋体" w:cs="宋体"/>
          <w:b/>
          <w:bCs/>
          <w:color w:val="000000" w:themeColor="text1"/>
          <w:sz w:val="24"/>
          <w:szCs w:val="24"/>
          <w:lang w:val="en-US" w:eastAsia="zh-CN"/>
          <w14:textFill>
            <w14:solidFill>
              <w14:schemeClr w14:val="tx1"/>
            </w14:solidFill>
          </w14:textFill>
        </w:rPr>
      </w:pPr>
    </w:p>
    <w:p w14:paraId="703DEFE9">
      <w:pPr>
        <w:pStyle w:val="4"/>
        <w:rPr>
          <w:rFonts w:hint="eastAsia" w:ascii="宋体" w:hAnsi="宋体" w:eastAsia="宋体" w:cs="宋体"/>
          <w:b/>
          <w:bCs/>
          <w:color w:val="000000" w:themeColor="text1"/>
          <w:sz w:val="24"/>
          <w:szCs w:val="24"/>
          <w:lang w:val="en-US" w:eastAsia="zh-CN"/>
          <w14:textFill>
            <w14:solidFill>
              <w14:schemeClr w14:val="tx1"/>
            </w14:solidFill>
          </w14:textFill>
        </w:rPr>
      </w:pPr>
    </w:p>
    <w:p w14:paraId="543C4AE6">
      <w:pPr>
        <w:pStyle w:val="4"/>
        <w:ind w:firstLine="2168" w:firstLineChars="900"/>
        <w:rPr>
          <w:rFonts w:hint="eastAsia" w:ascii="仿宋" w:hAnsi="仿宋" w:eastAsia="仿宋" w:cs="仿宋"/>
          <w:b/>
          <w:bCs/>
          <w:color w:val="000000" w:themeColor="text1"/>
          <w:sz w:val="24"/>
          <w:szCs w:val="24"/>
          <w:lang w:val="en-US" w:eastAsia="zh-CN"/>
          <w14:textFill>
            <w14:solidFill>
              <w14:schemeClr w14:val="tx1"/>
            </w14:solidFill>
          </w14:textFill>
        </w:rPr>
      </w:pPr>
    </w:p>
    <w:p w14:paraId="036F8398">
      <w:pPr>
        <w:pStyle w:val="4"/>
        <w:ind w:firstLine="2168" w:firstLineChars="900"/>
        <w:rPr>
          <w:rFonts w:hint="eastAsia" w:ascii="仿宋" w:hAnsi="仿宋" w:eastAsia="仿宋" w:cs="仿宋"/>
          <w:b/>
          <w:bCs/>
          <w:color w:val="000000" w:themeColor="text1"/>
          <w:sz w:val="24"/>
          <w:szCs w:val="24"/>
          <w:lang w:val="en-US" w:eastAsia="zh-CN"/>
          <w14:textFill>
            <w14:solidFill>
              <w14:schemeClr w14:val="tx1"/>
            </w14:solidFill>
          </w14:textFill>
        </w:rPr>
      </w:pPr>
    </w:p>
    <w:p w14:paraId="52564978">
      <w:pPr>
        <w:pStyle w:val="4"/>
        <w:ind w:firstLine="2168" w:firstLineChars="900"/>
        <w:rPr>
          <w:rFonts w:hint="eastAsia" w:ascii="仿宋" w:hAnsi="仿宋" w:eastAsia="仿宋" w:cs="仿宋"/>
          <w:b/>
          <w:bCs/>
          <w:color w:val="000000" w:themeColor="text1"/>
          <w:sz w:val="24"/>
          <w:szCs w:val="24"/>
          <w:lang w:val="en-US" w:eastAsia="zh-CN"/>
          <w14:textFill>
            <w14:solidFill>
              <w14:schemeClr w14:val="tx1"/>
            </w14:solidFill>
          </w14:textFill>
        </w:rPr>
      </w:pPr>
    </w:p>
    <w:p w14:paraId="319A177D">
      <w:pPr>
        <w:pStyle w:val="4"/>
        <w:ind w:firstLine="2160" w:firstLineChars="900"/>
        <w:rPr>
          <w:rFonts w:hint="eastAsia" w:ascii="仿宋" w:hAnsi="仿宋" w:eastAsia="仿宋" w:cs="仿宋"/>
          <w:b/>
          <w:bCs/>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drawing>
          <wp:anchor distT="0" distB="0" distL="114300" distR="114300" simplePos="0" relativeHeight="251664384" behindDoc="0" locked="0" layoutInCell="1" allowOverlap="1">
            <wp:simplePos x="0" y="0"/>
            <wp:positionH relativeFrom="column">
              <wp:posOffset>500380</wp:posOffset>
            </wp:positionH>
            <wp:positionV relativeFrom="paragraph">
              <wp:posOffset>321945</wp:posOffset>
            </wp:positionV>
            <wp:extent cx="4488180" cy="3115310"/>
            <wp:effectExtent l="9525" t="9525" r="17145" b="18415"/>
            <wp:wrapNone/>
            <wp:docPr id="15" name="图片 13"/>
            <wp:cNvGraphicFramePr/>
            <a:graphic xmlns:a="http://schemas.openxmlformats.org/drawingml/2006/main">
              <a:graphicData uri="http://schemas.openxmlformats.org/drawingml/2006/picture">
                <pic:pic xmlns:pic="http://schemas.openxmlformats.org/drawingml/2006/picture">
                  <pic:nvPicPr>
                    <pic:cNvPr id="15" name="图片 13"/>
                    <pic:cNvPicPr/>
                  </pic:nvPicPr>
                  <pic:blipFill>
                    <a:blip r:embed="rId14"/>
                    <a:srcRect l="2049" t="-4085" r="2049" b="-4085"/>
                    <a:stretch>
                      <a:fillRect/>
                    </a:stretch>
                  </pic:blipFill>
                  <pic:spPr>
                    <a:xfrm>
                      <a:off x="0" y="0"/>
                      <a:ext cx="4488180" cy="3115310"/>
                    </a:xfrm>
                    <a:prstGeom prst="rect">
                      <a:avLst/>
                    </a:prstGeom>
                    <a:ln>
                      <a:solidFill>
                        <a:schemeClr val="bg1"/>
                      </a:solidFill>
                    </a:ln>
                  </pic:spPr>
                </pic:pic>
              </a:graphicData>
            </a:graphic>
          </wp:anchor>
        </w:drawing>
      </w:r>
      <w:r>
        <w:rPr>
          <w:rFonts w:hint="eastAsia" w:ascii="仿宋" w:hAnsi="仿宋" w:eastAsia="仿宋" w:cs="仿宋"/>
          <w:b/>
          <w:bCs/>
          <w:color w:val="000000" w:themeColor="text1"/>
          <w:sz w:val="24"/>
          <w:szCs w:val="24"/>
          <w:lang w:val="en-US" w:eastAsia="zh-CN"/>
          <w14:textFill>
            <w14:solidFill>
              <w14:schemeClr w14:val="tx1"/>
            </w14:solidFill>
          </w14:textFill>
        </w:rPr>
        <w:t>图1-1 食品加工与保鲜（酿造）一体化课程</w:t>
      </w:r>
    </w:p>
    <w:p w14:paraId="3C914768">
      <w:pPr>
        <w:pStyle w:val="4"/>
        <w:rPr>
          <w:rFonts w:hint="eastAsia" w:ascii="宋体" w:hAnsi="宋体" w:eastAsia="宋体" w:cs="宋体"/>
          <w:b/>
          <w:bCs/>
          <w:color w:val="000000" w:themeColor="text1"/>
          <w:sz w:val="24"/>
          <w:szCs w:val="24"/>
          <w:lang w:val="en-US" w:eastAsia="zh-CN"/>
          <w14:textFill>
            <w14:solidFill>
              <w14:schemeClr w14:val="tx1"/>
            </w14:solidFill>
          </w14:textFill>
        </w:rPr>
      </w:pPr>
    </w:p>
    <w:p w14:paraId="1FF3423F">
      <w:pPr>
        <w:pStyle w:val="4"/>
        <w:rPr>
          <w:rFonts w:hint="eastAsia" w:ascii="宋体" w:hAnsi="宋体" w:eastAsia="宋体" w:cs="宋体"/>
          <w:b/>
          <w:bCs/>
          <w:color w:val="000000" w:themeColor="text1"/>
          <w:sz w:val="24"/>
          <w:szCs w:val="24"/>
          <w:lang w:val="en-US" w:eastAsia="zh-CN"/>
          <w14:textFill>
            <w14:solidFill>
              <w14:schemeClr w14:val="tx1"/>
            </w14:solidFill>
          </w14:textFill>
        </w:rPr>
      </w:pPr>
    </w:p>
    <w:p w14:paraId="10BC132E">
      <w:pPr>
        <w:pStyle w:val="4"/>
        <w:rPr>
          <w:rFonts w:hint="eastAsia" w:ascii="宋体" w:hAnsi="宋体" w:eastAsia="宋体" w:cs="宋体"/>
          <w:b/>
          <w:bCs/>
          <w:color w:val="000000" w:themeColor="text1"/>
          <w:sz w:val="24"/>
          <w:szCs w:val="24"/>
          <w:lang w:val="en-US" w:eastAsia="zh-CN"/>
          <w14:textFill>
            <w14:solidFill>
              <w14:schemeClr w14:val="tx1"/>
            </w14:solidFill>
          </w14:textFill>
        </w:rPr>
      </w:pPr>
    </w:p>
    <w:p w14:paraId="20D33152">
      <w:pPr>
        <w:pStyle w:val="4"/>
        <w:rPr>
          <w:rFonts w:hint="eastAsia" w:ascii="宋体" w:hAnsi="宋体" w:eastAsia="宋体" w:cs="宋体"/>
          <w:b/>
          <w:bCs/>
          <w:color w:val="000000" w:themeColor="text1"/>
          <w:sz w:val="24"/>
          <w:szCs w:val="24"/>
          <w:lang w:val="en-US" w:eastAsia="zh-CN"/>
          <w14:textFill>
            <w14:solidFill>
              <w14:schemeClr w14:val="tx1"/>
            </w14:solidFill>
          </w14:textFill>
        </w:rPr>
      </w:pPr>
    </w:p>
    <w:p w14:paraId="253E68AA">
      <w:pPr>
        <w:pStyle w:val="4"/>
        <w:rPr>
          <w:rFonts w:hint="eastAsia" w:ascii="宋体" w:hAnsi="宋体" w:eastAsia="宋体" w:cs="宋体"/>
          <w:b/>
          <w:bCs/>
          <w:color w:val="000000" w:themeColor="text1"/>
          <w:sz w:val="24"/>
          <w:szCs w:val="24"/>
          <w:lang w:val="en-US" w:eastAsia="zh-CN"/>
          <w14:textFill>
            <w14:solidFill>
              <w14:schemeClr w14:val="tx1"/>
            </w14:solidFill>
          </w14:textFill>
        </w:rPr>
      </w:pPr>
    </w:p>
    <w:p w14:paraId="2AC7F094">
      <w:pPr>
        <w:pStyle w:val="4"/>
        <w:jc w:val="both"/>
        <w:rPr>
          <w:rFonts w:hint="eastAsia" w:ascii="仿宋" w:hAnsi="仿宋" w:eastAsia="仿宋" w:cs="仿宋"/>
          <w:b/>
          <w:bCs/>
          <w:color w:val="000000" w:themeColor="text1"/>
          <w:sz w:val="24"/>
          <w:szCs w:val="24"/>
          <w:lang w:val="en-US" w:eastAsia="zh-CN"/>
          <w14:textFill>
            <w14:solidFill>
              <w14:schemeClr w14:val="tx1"/>
            </w14:solidFill>
          </w14:textFill>
        </w:rPr>
      </w:pPr>
    </w:p>
    <w:p w14:paraId="638DF9A5">
      <w:pPr>
        <w:pStyle w:val="4"/>
        <w:jc w:val="center"/>
        <w:rPr>
          <w:rFonts w:hint="eastAsia" w:ascii="仿宋" w:hAnsi="仿宋" w:eastAsia="仿宋" w:cs="仿宋"/>
          <w:b/>
          <w:bCs/>
          <w:color w:val="000000" w:themeColor="text1"/>
          <w:sz w:val="24"/>
          <w:szCs w:val="24"/>
          <w:lang w:val="en-US"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图1-2 校企合作（河套酒业）</w:t>
      </w:r>
    </w:p>
    <w:p w14:paraId="2871A24D">
      <w:pPr>
        <w:keepNext w:val="0"/>
        <w:keepLines w:val="0"/>
        <w:pageBreakBefore w:val="0"/>
        <w:widowControl w:val="0"/>
        <w:kinsoku/>
        <w:wordWrap/>
        <w:overflowPunct/>
        <w:topLinePunct w:val="0"/>
        <w:autoSpaceDE w:val="0"/>
        <w:autoSpaceDN w:val="0"/>
        <w:bidi w:val="0"/>
        <w:adjustRightInd w:val="0"/>
        <w:snapToGrid/>
        <w:spacing w:line="440" w:lineRule="exact"/>
        <w:jc w:val="both"/>
        <w:textAlignment w:val="auto"/>
        <w:rPr>
          <w:rFonts w:hint="eastAsia" w:ascii="黑体" w:hAnsi="黑体" w:eastAsia="黑体" w:cs="黑体"/>
          <w:b/>
          <w:bCs/>
          <w:color w:val="000000" w:themeColor="text1"/>
          <w:sz w:val="30"/>
          <w:szCs w:val="30"/>
          <w:lang w:val="en-US" w:eastAsia="zh-CN"/>
          <w14:textFill>
            <w14:solidFill>
              <w14:schemeClr w14:val="tx1"/>
            </w14:solidFill>
          </w14:textFill>
        </w:rPr>
      </w:pPr>
      <w:r>
        <w:rPr>
          <w:rFonts w:hint="eastAsia" w:ascii="黑体" w:hAnsi="黑体" w:eastAsia="黑体" w:cs="黑体"/>
          <w:b/>
          <w:bCs/>
          <w:color w:val="000000" w:themeColor="text1"/>
          <w:sz w:val="30"/>
          <w:szCs w:val="30"/>
          <w:lang w:val="en-US" w:eastAsia="zh-CN" w:bidi="ar-SA"/>
          <w14:textFill>
            <w14:solidFill>
              <w14:schemeClr w14:val="tx1"/>
            </w14:solidFill>
          </w14:textFill>
        </w:rPr>
        <w:t>案例1-2</w:t>
      </w:r>
    </w:p>
    <w:p w14:paraId="1194747C">
      <w:pPr>
        <w:keepNext w:val="0"/>
        <w:keepLines w:val="0"/>
        <w:pageBreakBefore w:val="0"/>
        <w:widowControl w:val="0"/>
        <w:kinsoku/>
        <w:wordWrap/>
        <w:overflowPunct/>
        <w:topLinePunct w:val="0"/>
        <w:bidi w:val="0"/>
        <w:snapToGrid/>
        <w:spacing w:line="440" w:lineRule="exact"/>
        <w:ind w:firstLine="602" w:firstLineChars="200"/>
        <w:jc w:val="center"/>
        <w:textAlignment w:val="auto"/>
        <w:rPr>
          <w:rFonts w:hint="eastAsia" w:ascii="仿宋" w:hAnsi="仿宋" w:eastAsia="仿宋" w:cs="仿宋"/>
          <w:b/>
          <w:bCs/>
          <w:color w:val="000000" w:themeColor="text1"/>
          <w:sz w:val="30"/>
          <w:szCs w:val="30"/>
          <w:lang w:val="en-US" w:eastAsia="zh-CN" w:bidi="ar-SA"/>
          <w14:textFill>
            <w14:solidFill>
              <w14:schemeClr w14:val="tx1"/>
            </w14:solidFill>
          </w14:textFill>
        </w:rPr>
      </w:pPr>
      <w:r>
        <w:rPr>
          <w:rFonts w:hint="eastAsia" w:ascii="仿宋" w:hAnsi="仿宋" w:eastAsia="仿宋" w:cs="仿宋"/>
          <w:b/>
          <w:bCs/>
          <w:color w:val="000000" w:themeColor="text1"/>
          <w:sz w:val="30"/>
          <w:szCs w:val="30"/>
          <w:lang w:val="en-US" w:eastAsia="zh-CN" w:bidi="ar-SA"/>
          <w14:textFill>
            <w14:solidFill>
              <w14:schemeClr w14:val="tx1"/>
            </w14:solidFill>
          </w14:textFill>
        </w:rPr>
        <w:t>实践赋能成长·知行铸魂育人</w:t>
      </w:r>
    </w:p>
    <w:p w14:paraId="6C8F5887">
      <w:pPr>
        <w:keepNext w:val="0"/>
        <w:keepLines w:val="0"/>
        <w:pageBreakBefore w:val="0"/>
        <w:widowControl w:val="0"/>
        <w:kinsoku/>
        <w:wordWrap/>
        <w:overflowPunct/>
        <w:topLinePunct w:val="0"/>
        <w:bidi w:val="0"/>
        <w:snapToGrid/>
        <w:spacing w:line="440" w:lineRule="exact"/>
        <w:ind w:firstLine="482" w:firstLineChars="200"/>
        <w:jc w:val="left"/>
        <w:textAlignment w:val="auto"/>
        <w:rPr>
          <w:rFonts w:hint="eastAsia" w:ascii="仿宋" w:hAnsi="仿宋" w:eastAsia="仿宋" w:cs="仿宋"/>
          <w:b/>
          <w:bCs/>
          <w:color w:val="000000" w:themeColor="text1"/>
          <w:sz w:val="24"/>
          <w:szCs w:val="24"/>
          <w:lang w:val="en-US" w:eastAsia="zh-CN" w:bidi="ar-SA"/>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案例介绍：</w:t>
      </w:r>
      <w:r>
        <w:rPr>
          <w:rFonts w:hint="eastAsia" w:ascii="仿宋" w:hAnsi="仿宋" w:eastAsia="仿宋" w:cs="仿宋"/>
          <w:b w:val="0"/>
          <w:bCs w:val="0"/>
          <w:color w:val="000000" w:themeColor="text1"/>
          <w:kern w:val="2"/>
          <w:sz w:val="24"/>
          <w:szCs w:val="24"/>
          <w:lang w:val="en-US" w:eastAsia="zh-CN" w:bidi="ar-SA"/>
          <w14:textFill>
            <w14:solidFill>
              <w14:schemeClr w14:val="tx1"/>
            </w14:solidFill>
          </w14:textFill>
        </w:rPr>
        <w:t>立足中职学生成长规律与职业发展需求，打破课堂与实践的壁垒，以“行走的课堂”为载体，整合研学资源、文体活动等多维实践场景，构建“沉浸式体验+场景化育人+个性化成长”的实践育人新模式，推动德育工作从理论灌输向实践浸润转变，让学生在实践中锤炼品格、增长才干。</w:t>
      </w:r>
    </w:p>
    <w:p w14:paraId="67A78F14">
      <w:pPr>
        <w:keepNext w:val="0"/>
        <w:keepLines w:val="0"/>
        <w:pageBreakBefore w:val="0"/>
        <w:widowControl w:val="0"/>
        <w:tabs>
          <w:tab w:val="left" w:pos="2308"/>
        </w:tabs>
        <w:kinsoku/>
        <w:wordWrap/>
        <w:overflowPunct/>
        <w:topLinePunct w:val="0"/>
        <w:bidi w:val="0"/>
        <w:snapToGrid/>
        <w:spacing w:line="440" w:lineRule="exact"/>
        <w:ind w:firstLine="482" w:firstLineChars="200"/>
        <w:jc w:val="left"/>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drawing>
          <wp:anchor distT="0" distB="0" distL="114300" distR="114300" simplePos="0" relativeHeight="251665408" behindDoc="0" locked="0" layoutInCell="1" allowOverlap="1">
            <wp:simplePos x="0" y="0"/>
            <wp:positionH relativeFrom="column">
              <wp:posOffset>533400</wp:posOffset>
            </wp:positionH>
            <wp:positionV relativeFrom="paragraph">
              <wp:posOffset>960755</wp:posOffset>
            </wp:positionV>
            <wp:extent cx="4679950" cy="3338830"/>
            <wp:effectExtent l="0" t="0" r="6350" b="13970"/>
            <wp:wrapNone/>
            <wp:docPr id="10" name="图片 2" descr="DSC0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descr="DSC06625"/>
                    <pic:cNvPicPr>
                      <a:picLocks noChangeAspect="1"/>
                    </pic:cNvPicPr>
                  </pic:nvPicPr>
                  <pic:blipFill>
                    <a:blip r:embed="rId15"/>
                    <a:srcRect l="101" t="-7966" r="-100" b="-7966"/>
                    <a:stretch>
                      <a:fillRect/>
                    </a:stretch>
                  </pic:blipFill>
                  <pic:spPr>
                    <a:xfrm>
                      <a:off x="0" y="0"/>
                      <a:ext cx="4679950" cy="3338830"/>
                    </a:xfrm>
                    <a:prstGeom prst="rect">
                      <a:avLst/>
                    </a:prstGeom>
                    <a:noFill/>
                    <a:ln>
                      <a:noFill/>
                    </a:ln>
                  </pic:spPr>
                </pic:pic>
              </a:graphicData>
            </a:graphic>
          </wp:anchor>
        </w:drawing>
      </w:r>
      <w:r>
        <w:rPr>
          <w:rFonts w:hint="eastAsia" w:ascii="仿宋" w:hAnsi="仿宋" w:eastAsia="仿宋" w:cs="仿宋"/>
          <w:b/>
          <w:bCs/>
          <w:color w:val="000000" w:themeColor="text1"/>
          <w:sz w:val="24"/>
          <w:szCs w:val="24"/>
          <w:lang w:val="en-US" w:eastAsia="zh-CN"/>
          <w14:textFill>
            <w14:solidFill>
              <w14:schemeClr w14:val="tx1"/>
            </w14:solidFill>
          </w14:textFill>
        </w:rPr>
        <w:t>案例实施及成果：</w:t>
      </w:r>
      <w:r>
        <w:rPr>
          <w:rFonts w:hint="eastAsia" w:ascii="仿宋" w:hAnsi="仿宋" w:eastAsia="仿宋" w:cs="仿宋"/>
          <w:color w:val="000000" w:themeColor="text1"/>
          <w:sz w:val="24"/>
          <w:szCs w:val="24"/>
          <w:lang w:val="en-US" w:eastAsia="zh-CN"/>
          <w14:textFill>
            <w14:solidFill>
              <w14:schemeClr w14:val="tx1"/>
            </w14:solidFill>
          </w14:textFill>
        </w:rPr>
        <w:t>开展青马研学、远足研学等实践活动，同步举办冬季越野、运动会等多元文体活动，实现实践育人全覆盖。通过全员参与、全程渗透、全方位覆盖的实践育人举措，学生综合素养显著提升多名学生在各级文体竞赛中获奖，以知行合一的育人实践，培育出品德优良、意志坚定、全面发展的新时代中职生。</w:t>
      </w:r>
    </w:p>
    <w:p w14:paraId="2B516374">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3DBB5952">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4D990AF6">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14F19B4E">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7F5520A9">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05D6C38E">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0E91D86C">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2B0093E2">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0FC5B7F6">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17B1FF97">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3323C3C6">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63D316D7">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图1-3 远足研学实践活动</w:t>
      </w:r>
    </w:p>
    <w:p w14:paraId="77A8C575">
      <w:pPr>
        <w:spacing w:line="560" w:lineRule="exact"/>
        <w:rPr>
          <w:rFonts w:hint="eastAsia" w:ascii="黑体" w:hAnsi="黑体" w:eastAsia="黑体" w:cs="黑体"/>
          <w:b/>
          <w:bCs/>
          <w:i w:val="0"/>
          <w:iCs w:val="0"/>
          <w:color w:val="000000" w:themeColor="text1"/>
          <w:kern w:val="2"/>
          <w:sz w:val="30"/>
          <w:szCs w:val="30"/>
          <w:highlight w:val="none"/>
          <w:vertAlign w:val="baseline"/>
          <w:lang w:val="en-US" w:eastAsia="zh-CN" w:bidi="ar-SA"/>
          <w14:textFill>
            <w14:solidFill>
              <w14:schemeClr w14:val="tx1"/>
            </w14:solidFill>
          </w14:textFill>
        </w:rPr>
      </w:pPr>
    </w:p>
    <w:p w14:paraId="31279CE3">
      <w:pPr>
        <w:spacing w:line="560" w:lineRule="exact"/>
        <w:rPr>
          <w:rFonts w:hint="default" w:ascii="仿宋" w:hAnsi="仿宋" w:eastAsia="仿宋" w:cs="仿宋"/>
          <w:b/>
          <w:bCs/>
          <w:i w:val="0"/>
          <w:iCs w:val="0"/>
          <w:color w:val="000000" w:themeColor="text1"/>
          <w:kern w:val="2"/>
          <w:sz w:val="30"/>
          <w:szCs w:val="30"/>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30"/>
          <w:szCs w:val="30"/>
          <w:highlight w:val="none"/>
          <w:vertAlign w:val="baseline"/>
          <w:lang w:val="en-US" w:eastAsia="zh-CN" w:bidi="ar-SA"/>
          <w14:textFill>
            <w14:solidFill>
              <w14:schemeClr w14:val="tx1"/>
            </w14:solidFill>
          </w14:textFill>
        </w:rPr>
        <w:t>案例1-3</w:t>
      </w:r>
    </w:p>
    <w:p w14:paraId="0549E542">
      <w:pPr>
        <w:spacing w:line="560" w:lineRule="exact"/>
        <w:jc w:val="center"/>
        <w:rPr>
          <w:rStyle w:val="25"/>
          <w:rFonts w:hint="eastAsia" w:ascii="仿宋" w:hAnsi="仿宋" w:eastAsia="仿宋" w:cs="仿宋"/>
          <w:b/>
          <w:bCs/>
          <w:i w:val="0"/>
          <w:iCs w:val="0"/>
          <w:caps w:val="0"/>
          <w:color w:val="000000" w:themeColor="text1"/>
          <w:spacing w:val="0"/>
          <w:sz w:val="30"/>
          <w:szCs w:val="30"/>
          <w:shd w:val="clear" w:fill="FFFFFF"/>
          <w14:textFill>
            <w14:solidFill>
              <w14:schemeClr w14:val="tx1"/>
            </w14:solidFill>
          </w14:textFill>
        </w:rPr>
      </w:pPr>
      <w:r>
        <w:rPr>
          <w:rStyle w:val="25"/>
          <w:rFonts w:hint="eastAsia" w:ascii="仿宋" w:hAnsi="仿宋" w:eastAsia="仿宋" w:cs="仿宋"/>
          <w:b/>
          <w:bCs/>
          <w:i w:val="0"/>
          <w:iCs w:val="0"/>
          <w:caps w:val="0"/>
          <w:color w:val="000000" w:themeColor="text1"/>
          <w:spacing w:val="0"/>
          <w:sz w:val="30"/>
          <w:szCs w:val="30"/>
          <w:shd w:val="clear" w:fill="FFFFFF"/>
          <w14:textFill>
            <w14:solidFill>
              <w14:schemeClr w14:val="tx1"/>
            </w14:solidFill>
          </w14:textFill>
        </w:rPr>
        <w:t>技能成果</w:t>
      </w:r>
      <w:r>
        <w:rPr>
          <w:rStyle w:val="25"/>
          <w:rFonts w:hint="eastAsia" w:ascii="仿宋" w:hAnsi="仿宋" w:eastAsia="仿宋" w:cs="仿宋"/>
          <w:b/>
          <w:bCs/>
          <w:i w:val="0"/>
          <w:iCs w:val="0"/>
          <w:caps w:val="0"/>
          <w:color w:val="000000" w:themeColor="text1"/>
          <w:spacing w:val="0"/>
          <w:sz w:val="30"/>
          <w:szCs w:val="30"/>
          <w:shd w:val="clear" w:fill="FFFFFF"/>
          <w:lang w:val="en-US" w:eastAsia="zh-CN"/>
          <w14:textFill>
            <w14:solidFill>
              <w14:schemeClr w14:val="tx1"/>
            </w14:solidFill>
          </w14:textFill>
        </w:rPr>
        <w:t>筑专业</w:t>
      </w:r>
      <w:r>
        <w:rPr>
          <w:rStyle w:val="25"/>
          <w:rFonts w:hint="eastAsia" w:ascii="仿宋" w:hAnsi="仿宋" w:eastAsia="仿宋" w:cs="仿宋"/>
          <w:b/>
          <w:bCs/>
          <w:i w:val="0"/>
          <w:iCs w:val="0"/>
          <w:caps w:val="0"/>
          <w:color w:val="000000" w:themeColor="text1"/>
          <w:spacing w:val="0"/>
          <w:sz w:val="30"/>
          <w:szCs w:val="30"/>
          <w:shd w:val="clear" w:fill="FFFFFF"/>
          <w:lang w:eastAsia="zh-CN"/>
          <w14:textFill>
            <w14:solidFill>
              <w14:schemeClr w14:val="tx1"/>
            </w14:solidFill>
          </w14:textFill>
        </w:rPr>
        <w:t>，</w:t>
      </w:r>
      <w:r>
        <w:rPr>
          <w:rStyle w:val="25"/>
          <w:rFonts w:hint="eastAsia" w:ascii="仿宋" w:hAnsi="仿宋" w:eastAsia="仿宋" w:cs="仿宋"/>
          <w:b/>
          <w:bCs/>
          <w:i w:val="0"/>
          <w:iCs w:val="0"/>
          <w:caps w:val="0"/>
          <w:color w:val="000000" w:themeColor="text1"/>
          <w:spacing w:val="0"/>
          <w:sz w:val="30"/>
          <w:szCs w:val="30"/>
          <w:shd w:val="clear" w:fill="FFFFFF"/>
          <w14:textFill>
            <w14:solidFill>
              <w14:schemeClr w14:val="tx1"/>
            </w14:solidFill>
          </w14:textFill>
        </w:rPr>
        <w:t>赛教融合育匠才</w:t>
      </w:r>
    </w:p>
    <w:p w14:paraId="7000B717">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rPr>
          <w:rFonts w:hint="eastAsia" w:ascii="仿宋" w:hAnsi="仿宋" w:eastAsia="仿宋" w:cs="仿宋"/>
          <w:i w:val="0"/>
          <w:iCs w:val="0"/>
          <w:caps w:val="0"/>
          <w:color w:val="000000" w:themeColor="text1"/>
          <w:spacing w:val="0"/>
          <w:sz w:val="28"/>
          <w:szCs w:val="28"/>
          <w14:textFill>
            <w14:solidFill>
              <w14:schemeClr w14:val="tx1"/>
            </w14:solidFill>
          </w14:textFill>
        </w:rPr>
      </w:pPr>
      <w:r>
        <w:rPr>
          <w:rStyle w:val="25"/>
          <w:rFonts w:hint="eastAsia" w:ascii="仿宋" w:hAnsi="仿宋" w:eastAsia="仿宋" w:cs="仿宋"/>
          <w:b/>
          <w:bCs/>
          <w:i w:val="0"/>
          <w:iCs w:val="0"/>
          <w:caps w:val="0"/>
          <w:color w:val="000000" w:themeColor="text1"/>
          <w:spacing w:val="0"/>
          <w:sz w:val="28"/>
          <w:szCs w:val="28"/>
          <w:shd w:val="clear" w:fill="FFFFFF"/>
          <w:lang w:eastAsia="zh-CN"/>
          <w14:textFill>
            <w14:solidFill>
              <w14:schemeClr w14:val="tx1"/>
            </w14:solidFill>
          </w14:textFill>
        </w:rPr>
        <w:t>一</w:t>
      </w:r>
      <w:r>
        <w:rPr>
          <w:rStyle w:val="25"/>
          <w:rFonts w:hint="eastAsia" w:ascii="仿宋" w:hAnsi="仿宋" w:eastAsia="仿宋" w:cs="仿宋"/>
          <w:b/>
          <w:bCs/>
          <w:i w:val="0"/>
          <w:iCs w:val="0"/>
          <w:caps w:val="0"/>
          <w:color w:val="000000" w:themeColor="text1"/>
          <w:spacing w:val="0"/>
          <w:sz w:val="28"/>
          <w:szCs w:val="28"/>
          <w:shd w:val="clear" w:fill="FFFFFF"/>
          <w14:textFill>
            <w14:solidFill>
              <w14:schemeClr w14:val="tx1"/>
            </w14:solidFill>
          </w14:textFill>
        </w:rPr>
        <w:t>、具体做法</w:t>
      </w:r>
    </w:p>
    <w:p w14:paraId="09B82A7A">
      <w:pPr>
        <w:pStyle w:val="13"/>
        <w:keepNext w:val="0"/>
        <w:keepLines w:val="0"/>
        <w:pageBreakBefore w:val="0"/>
        <w:widowControl/>
        <w:suppressLineNumbers w:val="0"/>
        <w:shd w:val="clear" w:fill="FFFFFF"/>
        <w:kinsoku/>
        <w:wordWrap/>
        <w:overflowPunct/>
        <w:topLinePunct w:val="0"/>
        <w:autoSpaceDE/>
        <w:autoSpaceDN/>
        <w:bidi w:val="0"/>
        <w:adjustRightInd/>
        <w:snapToGrid/>
        <w:spacing w:beforeAutospacing="0" w:afterAutospacing="0" w:line="440" w:lineRule="exact"/>
        <w:ind w:left="0" w:right="0" w:firstLine="480" w:firstLineChars="200"/>
        <w:textAlignment w:val="auto"/>
        <w:rPr>
          <w:rFonts w:hint="eastAsia" w:ascii="仿宋" w:hAnsi="仿宋" w:eastAsia="仿宋" w:cs="仿宋"/>
          <w:b w:val="0"/>
          <w:bCs w:val="0"/>
          <w:i w:val="0"/>
          <w:iCs w:val="0"/>
          <w:caps w:val="0"/>
          <w:color w:val="000000" w:themeColor="text1"/>
          <w:spacing w:val="0"/>
          <w:sz w:val="24"/>
          <w:szCs w:val="24"/>
          <w14:textFill>
            <w14:solidFill>
              <w14:schemeClr w14:val="tx1"/>
            </w14:solidFill>
          </w14:textFill>
        </w:rPr>
      </w:pP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构建了“三层递进、赛课一体”的实施路径。</w:t>
      </w:r>
      <w:r>
        <w:rPr>
          <w:rStyle w:val="25"/>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顶层设计上</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，成立由校领导牵头、大赛金牌教练与专业带头人组成的“赛教融合改革小组”，确保资源统筹与方向引领。</w:t>
      </w:r>
      <w:r>
        <w:rPr>
          <w:rStyle w:val="25"/>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课程重构层面</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，以国赛规程为蓝本，逆向分解技术标准与能力模块，将大赛考核点转化为</w:t>
      </w:r>
      <w:r>
        <w:rPr>
          <w:rStyle w:val="25"/>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12个</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标准化教学模块与</w:t>
      </w:r>
      <w:r>
        <w:rPr>
          <w:rStyle w:val="25"/>
          <w:rFonts w:hint="eastAsia" w:ascii="仿宋" w:hAnsi="仿宋" w:eastAsia="仿宋" w:cs="仿宋"/>
          <w:b w:val="0"/>
          <w:bCs w:val="0"/>
          <w:i w:val="0"/>
          <w:iCs w:val="0"/>
          <w:caps w:val="0"/>
          <w:color w:val="000000" w:themeColor="text1"/>
          <w:spacing w:val="0"/>
          <w:sz w:val="24"/>
          <w:szCs w:val="24"/>
          <w:shd w:val="clear" w:fill="FFFFFF"/>
          <w:lang w:val="en-US" w:eastAsia="zh-CN"/>
          <w14:textFill>
            <w14:solidFill>
              <w14:schemeClr w14:val="tx1"/>
            </w14:solidFill>
          </w14:textFill>
        </w:rPr>
        <w:t>3</w:t>
      </w:r>
      <w:r>
        <w:rPr>
          <w:rStyle w:val="25"/>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0个</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实训项目，开发了配套的活页式教材与数字化资源库。</w:t>
      </w:r>
      <w:r>
        <w:rPr>
          <w:rStyle w:val="25"/>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实施过程中</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，推行“日常教学</w:t>
      </w:r>
      <w:r>
        <w:rPr>
          <w:rFonts w:hint="eastAsia" w:ascii="仿宋" w:hAnsi="仿宋" w:eastAsia="仿宋" w:cs="仿宋"/>
          <w:b w:val="0"/>
          <w:bCs w:val="0"/>
          <w:i w:val="0"/>
          <w:iCs w:val="0"/>
          <w:caps w:val="0"/>
          <w:color w:val="000000" w:themeColor="text1"/>
          <w:spacing w:val="0"/>
          <w:sz w:val="24"/>
          <w:szCs w:val="24"/>
          <w:shd w:val="clear" w:fill="FFFFFF"/>
          <w:lang w:eastAsia="zh-CN"/>
          <w14:textFill>
            <w14:solidFill>
              <w14:schemeClr w14:val="tx1"/>
            </w14:solidFill>
          </w14:textFill>
        </w:rPr>
        <w:t>提质</w:t>
      </w:r>
      <w:r>
        <w:rPr>
          <w:rFonts w:hint="eastAsia" w:ascii="仿宋" w:hAnsi="仿宋" w:eastAsia="仿宋" w:cs="仿宋"/>
          <w:b w:val="0"/>
          <w:bCs w:val="0"/>
          <w:i w:val="0"/>
          <w:iCs w:val="0"/>
          <w:caps w:val="0"/>
          <w:color w:val="auto"/>
          <w:spacing w:val="0"/>
          <w:sz w:val="24"/>
          <w:szCs w:val="24"/>
          <w:shd w:val="clear" w:fill="FFFFFF"/>
          <w:lang w:eastAsia="zh-CN"/>
        </w:rPr>
        <w:t>－</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兴趣小组培优</w:t>
      </w:r>
      <w:r>
        <w:rPr>
          <w:rFonts w:hint="eastAsia" w:ascii="仿宋" w:hAnsi="仿宋" w:eastAsia="仿宋" w:cs="仿宋"/>
          <w:b w:val="0"/>
          <w:bCs w:val="0"/>
          <w:i w:val="0"/>
          <w:iCs w:val="0"/>
          <w:caps w:val="0"/>
          <w:color w:val="000000" w:themeColor="text1"/>
          <w:spacing w:val="0"/>
          <w:sz w:val="24"/>
          <w:szCs w:val="24"/>
          <w:shd w:val="clear" w:fill="FFFFFF"/>
          <w:lang w:eastAsia="zh-CN"/>
          <w14:textFill>
            <w14:solidFill>
              <w14:schemeClr w14:val="tx1"/>
            </w14:solidFill>
          </w14:textFill>
        </w:rPr>
        <w:t>－</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竞赛梯队冲刺”三级培养机制。</w:t>
      </w:r>
    </w:p>
    <w:p w14:paraId="36109C0E">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rPr>
          <w:rStyle w:val="25"/>
          <w:rFonts w:hint="eastAsia" w:ascii="仿宋" w:hAnsi="仿宋" w:eastAsia="仿宋" w:cs="仿宋"/>
          <w:b/>
          <w:bCs/>
          <w:i w:val="0"/>
          <w:iCs w:val="0"/>
          <w:caps w:val="0"/>
          <w:color w:val="000000" w:themeColor="text1"/>
          <w:spacing w:val="0"/>
          <w:sz w:val="28"/>
          <w:szCs w:val="28"/>
          <w:shd w:val="clear" w:fill="FFFFFF"/>
          <w:lang w:eastAsia="zh-CN"/>
          <w14:textFill>
            <w14:solidFill>
              <w14:schemeClr w14:val="tx1"/>
            </w14:solidFill>
          </w14:textFill>
        </w:rPr>
      </w:pPr>
      <w:r>
        <w:rPr>
          <w:rStyle w:val="25"/>
          <w:rFonts w:hint="eastAsia" w:ascii="仿宋" w:hAnsi="仿宋" w:eastAsia="仿宋" w:cs="仿宋"/>
          <w:b/>
          <w:bCs/>
          <w:i w:val="0"/>
          <w:iCs w:val="0"/>
          <w:caps w:val="0"/>
          <w:color w:val="000000" w:themeColor="text1"/>
          <w:spacing w:val="0"/>
          <w:sz w:val="28"/>
          <w:szCs w:val="28"/>
          <w:shd w:val="clear" w:fill="FFFFFF"/>
          <w:lang w:eastAsia="zh-CN"/>
          <w14:textFill>
            <w14:solidFill>
              <w14:schemeClr w14:val="tx1"/>
            </w14:solidFill>
          </w14:textFill>
        </w:rPr>
        <w:t>二、示范推广价值</w:t>
      </w:r>
    </w:p>
    <w:p w14:paraId="0402A738">
      <w:pPr>
        <w:pStyle w:val="4"/>
        <w:keepNext w:val="0"/>
        <w:keepLines w:val="0"/>
        <w:pageBreakBefore w:val="0"/>
        <w:kinsoku/>
        <w:wordWrap/>
        <w:overflowPunct/>
        <w:topLinePunct w:val="0"/>
        <w:autoSpaceDE/>
        <w:autoSpaceDN/>
        <w:bidi w:val="0"/>
        <w:adjustRightInd/>
        <w:snapToGrid/>
        <w:spacing w:after="0" w:afterLines="0" w:line="440" w:lineRule="exact"/>
        <w:ind w:firstLine="480" w:firstLineChars="200"/>
        <w:textAlignment w:val="auto"/>
        <w:rPr>
          <w:rFonts w:hint="eastAsia"/>
          <w:color w:val="000000" w:themeColor="text1"/>
          <w14:textFill>
            <w14:solidFill>
              <w14:schemeClr w14:val="tx1"/>
            </w14:solidFill>
          </w14:textFill>
        </w:rPr>
      </w:pP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案例形成了普适性的“标准转化、资源共建、梯队培养”推广模式。其价值在于：一是</w:t>
      </w:r>
      <w:r>
        <w:rPr>
          <w:rStyle w:val="25"/>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提供了大赛资源向教学资源转化的系统方法</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；二是</w:t>
      </w:r>
      <w:r>
        <w:rPr>
          <w:rStyle w:val="25"/>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构建了可持续的技能人才梯队培养机制</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，解决了竞赛与教学“两张皮”问题；三是</w:t>
      </w:r>
      <w:r>
        <w:rPr>
          <w:rStyle w:val="25"/>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成果经实践检验，数据提升显著</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，核心指标的纵向对比增幅均超过</w:t>
      </w:r>
      <w:r>
        <w:rPr>
          <w:rStyle w:val="25"/>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25%</w:t>
      </w:r>
      <w:r>
        <w:rPr>
          <w:rFonts w:hint="eastAsia" w:ascii="仿宋" w:hAnsi="仿宋" w:eastAsia="仿宋" w:cs="仿宋"/>
          <w:b w:val="0"/>
          <w:bCs w:val="0"/>
          <w:i w:val="0"/>
          <w:iCs w:val="0"/>
          <w:caps w:val="0"/>
          <w:color w:val="000000" w:themeColor="text1"/>
          <w:spacing w:val="0"/>
          <w:sz w:val="24"/>
          <w:szCs w:val="24"/>
          <w:shd w:val="clear" w:fill="FFFFFF"/>
          <w14:textFill>
            <w14:solidFill>
              <w14:schemeClr w14:val="tx1"/>
            </w14:solidFill>
          </w14:textFill>
        </w:rPr>
        <w:t>。</w:t>
      </w:r>
    </w:p>
    <w:p w14:paraId="15711266">
      <w:pPr>
        <w:keepNext w:val="0"/>
        <w:keepLines w:val="0"/>
        <w:pageBreakBefore w:val="0"/>
        <w:widowControl w:val="0"/>
        <w:kinsoku/>
        <w:wordWrap/>
        <w:overflowPunct/>
        <w:topLinePunct w:val="0"/>
        <w:autoSpaceDE/>
        <w:autoSpaceDN/>
        <w:bidi w:val="0"/>
        <w:adjustRightInd/>
        <w:snapToGrid/>
        <w:spacing w:line="520" w:lineRule="exact"/>
        <w:ind w:left="0" w:leftChars="0" w:firstLine="480" w:firstLineChars="200"/>
        <w:jc w:val="center"/>
        <w:textAlignment w:val="auto"/>
        <w:rPr>
          <w:rFonts w:hint="default"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ascii="仿宋" w:hAnsi="仿宋" w:eastAsia="仿宋" w:cs="仿宋"/>
          <w:b w:val="0"/>
          <w:bCs w:val="0"/>
          <w:i w:val="0"/>
          <w:iCs w:val="0"/>
          <w:caps w:val="0"/>
          <w:color w:val="000000" w:themeColor="text1"/>
          <w:spacing w:val="0"/>
          <w:sz w:val="24"/>
          <w:szCs w:val="24"/>
          <w:lang w:eastAsia="zh-CN"/>
          <w14:textFill>
            <w14:solidFill>
              <w14:schemeClr w14:val="tx1"/>
            </w14:solidFill>
          </w14:textFill>
        </w:rPr>
        <w:drawing>
          <wp:anchor distT="0" distB="0" distL="114300" distR="114300" simplePos="0" relativeHeight="251669504" behindDoc="0" locked="0" layoutInCell="1" allowOverlap="1">
            <wp:simplePos x="0" y="0"/>
            <wp:positionH relativeFrom="column">
              <wp:posOffset>454025</wp:posOffset>
            </wp:positionH>
            <wp:positionV relativeFrom="paragraph">
              <wp:posOffset>130810</wp:posOffset>
            </wp:positionV>
            <wp:extent cx="4679950" cy="3064510"/>
            <wp:effectExtent l="0" t="0" r="6350" b="2540"/>
            <wp:wrapTopAndBottom/>
            <wp:docPr id="22" name="图片 22" descr="微信图片_20250924103018_1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微信图片_20250924103018_1_184"/>
                    <pic:cNvPicPr>
                      <a:picLocks noChangeAspect="1"/>
                    </pic:cNvPicPr>
                  </pic:nvPicPr>
                  <pic:blipFill>
                    <a:blip r:embed="rId16"/>
                    <a:srcRect l="-4523" t="-465" r="4524" b="-5941"/>
                    <a:stretch>
                      <a:fillRect/>
                    </a:stretch>
                  </pic:blipFill>
                  <pic:spPr>
                    <a:xfrm>
                      <a:off x="0" y="0"/>
                      <a:ext cx="4679950" cy="3064510"/>
                    </a:xfrm>
                    <a:prstGeom prst="rect">
                      <a:avLst/>
                    </a:prstGeom>
                  </pic:spPr>
                </pic:pic>
              </a:graphicData>
            </a:graphic>
          </wp:anchor>
        </w:drawing>
      </w:r>
      <w:r>
        <w:rPr>
          <w:rFonts w:hint="eastAsia" w:ascii="仿宋" w:hAnsi="仿宋" w:eastAsia="仿宋" w:cs="仿宋"/>
          <w:b/>
          <w:bCs/>
          <w:i w:val="0"/>
          <w:iCs w:val="0"/>
          <w:color w:val="000000" w:themeColor="text1"/>
          <w:kern w:val="2"/>
          <w:sz w:val="24"/>
          <w:szCs w:val="24"/>
          <w:highlight w:val="none"/>
          <w:vertAlign w:val="baseline"/>
          <w:lang w:val="en-US" w:eastAsia="zh-CN" w:bidi="ar-SA"/>
          <w14:textFill>
            <w14:solidFill>
              <w14:schemeClr w14:val="tx1"/>
            </w14:solidFill>
          </w14:textFill>
        </w:rPr>
        <w:t>图1-4 技能大赛护理项目师生合影</w:t>
      </w:r>
    </w:p>
    <w:p w14:paraId="1454B225">
      <w:pPr>
        <w:keepNext w:val="0"/>
        <w:keepLines w:val="0"/>
        <w:pageBreakBefore w:val="0"/>
        <w:kinsoku/>
        <w:wordWrap/>
        <w:overflowPunct/>
        <w:topLinePunct w:val="0"/>
        <w:autoSpaceDE/>
        <w:autoSpaceDN/>
        <w:bidi w:val="0"/>
        <w:adjustRightInd/>
        <w:snapToGrid/>
        <w:spacing w:line="440" w:lineRule="exact"/>
        <w:jc w:val="both"/>
        <w:textAlignment w:val="auto"/>
        <w:rPr>
          <w:rFonts w:hint="eastAsia" w:ascii="黑体" w:hAnsi="黑体" w:eastAsia="黑体" w:cs="黑体"/>
          <w:b/>
          <w:bCs/>
          <w:color w:val="000000" w:themeColor="text1"/>
          <w:sz w:val="30"/>
          <w:szCs w:val="30"/>
          <w:shd w:val="clear" w:color="auto" w:fill="FFFFFF"/>
          <w:lang w:eastAsia="zh-CN"/>
          <w14:textFill>
            <w14:solidFill>
              <w14:schemeClr w14:val="tx1"/>
            </w14:solidFill>
          </w14:textFill>
        </w:rPr>
      </w:pPr>
    </w:p>
    <w:p w14:paraId="02FB380F">
      <w:pPr>
        <w:keepNext w:val="0"/>
        <w:keepLines w:val="0"/>
        <w:pageBreakBefore w:val="0"/>
        <w:kinsoku/>
        <w:wordWrap/>
        <w:overflowPunct/>
        <w:topLinePunct w:val="0"/>
        <w:autoSpaceDE/>
        <w:autoSpaceDN/>
        <w:bidi w:val="0"/>
        <w:adjustRightInd/>
        <w:snapToGrid/>
        <w:spacing w:line="440" w:lineRule="exact"/>
        <w:jc w:val="both"/>
        <w:textAlignment w:val="auto"/>
        <w:rPr>
          <w:rFonts w:hint="eastAsia" w:asciiTheme="minorEastAsia" w:hAnsiTheme="minorEastAsia" w:cstheme="minorEastAsia"/>
          <w:b/>
          <w:bCs/>
          <w:color w:val="000000" w:themeColor="text1"/>
          <w:sz w:val="44"/>
          <w:szCs w:val="44"/>
          <w:shd w:val="clear" w:color="auto" w:fill="FFFFFF"/>
          <w:lang w:val="en-US" w:eastAsia="zh-CN"/>
          <w14:textFill>
            <w14:solidFill>
              <w14:schemeClr w14:val="tx1"/>
            </w14:solidFill>
          </w14:textFill>
        </w:rPr>
      </w:pPr>
      <w:r>
        <w:rPr>
          <w:rFonts w:hint="eastAsia" w:ascii="黑体" w:hAnsi="黑体" w:eastAsia="黑体" w:cs="黑体"/>
          <w:b/>
          <w:bCs/>
          <w:color w:val="000000" w:themeColor="text1"/>
          <w:sz w:val="30"/>
          <w:szCs w:val="30"/>
          <w:shd w:val="clear" w:color="auto" w:fill="FFFFFF"/>
          <w:lang w:eastAsia="zh-CN"/>
          <w14:textFill>
            <w14:solidFill>
              <w14:schemeClr w14:val="tx1"/>
            </w14:solidFill>
          </w14:textFill>
        </w:rPr>
        <w:t>案例</w:t>
      </w:r>
      <w:r>
        <w:rPr>
          <w:rFonts w:hint="eastAsia" w:ascii="黑体" w:hAnsi="黑体" w:eastAsia="黑体" w:cs="黑体"/>
          <w:b/>
          <w:bCs/>
          <w:color w:val="000000" w:themeColor="text1"/>
          <w:sz w:val="30"/>
          <w:szCs w:val="30"/>
          <w:shd w:val="clear" w:color="auto" w:fill="FFFFFF"/>
          <w:lang w:val="en-US" w:eastAsia="zh-CN"/>
          <w14:textFill>
            <w14:solidFill>
              <w14:schemeClr w14:val="tx1"/>
            </w14:solidFill>
          </w14:textFill>
        </w:rPr>
        <w:t>1-4</w:t>
      </w:r>
      <w:r>
        <w:rPr>
          <w:rFonts w:hint="eastAsia" w:asciiTheme="minorEastAsia" w:hAnsiTheme="minorEastAsia" w:cstheme="minorEastAsia"/>
          <w:b/>
          <w:bCs/>
          <w:color w:val="000000" w:themeColor="text1"/>
          <w:sz w:val="44"/>
          <w:szCs w:val="44"/>
          <w:shd w:val="clear" w:color="auto" w:fill="FFFFFF"/>
          <w:lang w:val="en-US" w:eastAsia="zh-CN"/>
          <w14:textFill>
            <w14:solidFill>
              <w14:schemeClr w14:val="tx1"/>
            </w14:solidFill>
          </w14:textFill>
        </w:rPr>
        <w:t xml:space="preserve">        </w:t>
      </w:r>
    </w:p>
    <w:p w14:paraId="22483109">
      <w:pPr>
        <w:keepNext w:val="0"/>
        <w:keepLines w:val="0"/>
        <w:pageBreakBefore w:val="0"/>
        <w:kinsoku/>
        <w:wordWrap/>
        <w:overflowPunct/>
        <w:topLinePunct w:val="0"/>
        <w:autoSpaceDE/>
        <w:autoSpaceDN/>
        <w:bidi w:val="0"/>
        <w:adjustRightInd/>
        <w:snapToGrid/>
        <w:spacing w:line="440" w:lineRule="exact"/>
        <w:jc w:val="center"/>
        <w:textAlignment w:val="auto"/>
        <w:rPr>
          <w:rFonts w:hint="eastAsia" w:asciiTheme="minorEastAsia" w:hAnsiTheme="minorEastAsia" w:eastAsiaTheme="minorEastAsia" w:cstheme="minorEastAsia"/>
          <w:b/>
          <w:bCs/>
          <w:color w:val="000000" w:themeColor="text1"/>
          <w:sz w:val="44"/>
          <w:szCs w:val="44"/>
          <w:shd w:val="clear" w:color="auto" w:fill="FFFFFF"/>
          <w14:textFill>
            <w14:solidFill>
              <w14:schemeClr w14:val="tx1"/>
            </w14:solidFill>
          </w14:textFill>
        </w:rPr>
      </w:pPr>
      <w:r>
        <w:rPr>
          <w:rFonts w:hint="eastAsia" w:ascii="仿宋" w:hAnsi="仿宋" w:eastAsia="仿宋" w:cs="仿宋"/>
          <w:b/>
          <w:bCs/>
          <w:color w:val="000000" w:themeColor="text1"/>
          <w:sz w:val="30"/>
          <w:szCs w:val="30"/>
          <w:shd w:val="clear" w:color="auto" w:fill="FFFFFF"/>
          <w14:textFill>
            <w14:solidFill>
              <w14:schemeClr w14:val="tx1"/>
            </w14:solidFill>
          </w14:textFill>
        </w:rPr>
        <w:t>智慧宿管AI赋能安全精准管理</w:t>
      </w:r>
    </w:p>
    <w:p w14:paraId="73F2D82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仿宋" w:hAnsi="仿宋" w:eastAsia="仿宋" w:cs="仿宋"/>
          <w:b w:val="0"/>
          <w:bCs w:val="0"/>
          <w:color w:val="000000" w:themeColor="text1"/>
          <w:sz w:val="24"/>
          <w:szCs w:val="24"/>
          <w:shd w:val="clear" w:color="auto" w:fill="FFFFFF"/>
          <w14:textFill>
            <w14:solidFill>
              <w14:schemeClr w14:val="tx1"/>
            </w14:solidFill>
          </w14:textFill>
        </w:rPr>
      </w:pPr>
      <w:r>
        <w:rPr>
          <w:rFonts w:hint="eastAsia" w:ascii="仿宋" w:hAnsi="仿宋" w:eastAsia="仿宋" w:cs="仿宋"/>
          <w:b w:val="0"/>
          <w:bCs w:val="0"/>
          <w:color w:val="000000" w:themeColor="text1"/>
          <w:sz w:val="24"/>
          <w:szCs w:val="24"/>
          <w:shd w:val="clear" w:color="auto" w:fill="FFFFFF"/>
          <w14:textFill>
            <w14:solidFill>
              <w14:schemeClr w14:val="tx1"/>
            </w14:solidFill>
          </w14:textFill>
        </w:rPr>
        <w:t>1.人脸识别考勤系统部署</w:t>
      </w:r>
    </w:p>
    <w:p w14:paraId="07B1193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仿宋" w:hAnsi="仿宋" w:eastAsia="仿宋" w:cs="仿宋"/>
          <w:color w:val="000000" w:themeColor="text1"/>
          <w:sz w:val="24"/>
          <w:szCs w:val="24"/>
          <w:shd w:val="clear" w:color="auto" w:fill="FFFFFF"/>
          <w14:textFill>
            <w14:solidFill>
              <w14:schemeClr w14:val="tx1"/>
            </w14:solidFill>
          </w14:textFill>
        </w:rPr>
      </w:pPr>
      <w:r>
        <w:rPr>
          <w:rFonts w:hint="eastAsia" w:ascii="仿宋" w:hAnsi="仿宋" w:eastAsia="仿宋" w:cs="仿宋"/>
          <w:color w:val="000000" w:themeColor="text1"/>
          <w:sz w:val="24"/>
          <w:szCs w:val="24"/>
          <w:shd w:val="clear" w:color="auto" w:fill="FFFFFF"/>
          <w14:textFill>
            <w14:solidFill>
              <w14:schemeClr w14:val="tx1"/>
            </w14:solidFill>
          </w14:textFill>
        </w:rPr>
        <w:t>在宿舍楼安装智慧考勤系统，学生归寝时刷脸通行，系统自动记录归寝时间并生成考勤数据，杜绝代打卡现象。针对晚归、未归学生，系统通过三级预警机制推送信息，形成“宿管</w:t>
      </w:r>
      <w:r>
        <w:rPr>
          <w:rFonts w:hint="eastAsia" w:ascii="仿宋" w:hAnsi="仿宋" w:eastAsia="仿宋" w:cs="仿宋"/>
          <w:color w:val="000000" w:themeColor="text1"/>
          <w:sz w:val="24"/>
          <w:szCs w:val="24"/>
          <w:shd w:val="clear" w:color="auto" w:fill="FFFFFF"/>
          <w:lang w:eastAsia="zh-CN"/>
          <w14:textFill>
            <w14:solidFill>
              <w14:schemeClr w14:val="tx1"/>
            </w14:solidFill>
          </w14:textFill>
        </w:rPr>
        <w:t>－</w:t>
      </w:r>
      <w:r>
        <w:rPr>
          <w:rFonts w:hint="eastAsia" w:ascii="仿宋" w:hAnsi="仿宋" w:eastAsia="仿宋" w:cs="仿宋"/>
          <w:color w:val="000000" w:themeColor="text1"/>
          <w:sz w:val="24"/>
          <w:szCs w:val="24"/>
          <w:shd w:val="clear" w:color="auto" w:fill="FFFFFF"/>
          <w14:textFill>
            <w14:solidFill>
              <w14:schemeClr w14:val="tx1"/>
            </w14:solidFill>
          </w14:textFill>
        </w:rPr>
        <w:t>班主任”的协同管控体系。</w:t>
      </w:r>
    </w:p>
    <w:p w14:paraId="73525A1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仿宋" w:hAnsi="仿宋" w:eastAsia="仿宋" w:cs="仿宋"/>
          <w:b w:val="0"/>
          <w:bCs w:val="0"/>
          <w:color w:val="000000" w:themeColor="text1"/>
          <w:sz w:val="24"/>
          <w:szCs w:val="24"/>
          <w:shd w:val="clear" w:color="auto" w:fill="FFFFFF"/>
          <w14:textFill>
            <w14:solidFill>
              <w14:schemeClr w14:val="tx1"/>
            </w14:solidFill>
          </w14:textFill>
        </w:rPr>
      </w:pPr>
      <w:r>
        <w:rPr>
          <w:rFonts w:hint="eastAsia" w:ascii="仿宋" w:hAnsi="仿宋" w:eastAsia="仿宋" w:cs="仿宋"/>
          <w:b w:val="0"/>
          <w:bCs w:val="0"/>
          <w:color w:val="000000" w:themeColor="text1"/>
          <w:sz w:val="24"/>
          <w:szCs w:val="24"/>
          <w:shd w:val="clear" w:color="auto" w:fill="FFFFFF"/>
          <w14:textFill>
            <w14:solidFill>
              <w14:schemeClr w14:val="tx1"/>
            </w14:solidFill>
          </w14:textFill>
        </w:rPr>
        <w:t>2.智能安防监控升级</w:t>
      </w:r>
    </w:p>
    <w:p w14:paraId="668CC9E0">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仿宋" w:hAnsi="仿宋" w:eastAsia="仿宋" w:cs="仿宋"/>
          <w:color w:val="000000" w:themeColor="text1"/>
          <w:sz w:val="24"/>
          <w:szCs w:val="24"/>
          <w:shd w:val="clear" w:color="auto" w:fill="FFFFFF"/>
          <w14:textFill>
            <w14:solidFill>
              <w14:schemeClr w14:val="tx1"/>
            </w14:solidFill>
          </w14:textFill>
        </w:rPr>
      </w:pPr>
      <w:r>
        <w:rPr>
          <w:rFonts w:hint="eastAsia" w:ascii="仿宋" w:hAnsi="仿宋" w:eastAsia="仿宋" w:cs="仿宋"/>
          <w:color w:val="000000" w:themeColor="text1"/>
          <w:sz w:val="24"/>
          <w:szCs w:val="24"/>
          <w:shd w:val="clear" w:color="auto" w:fill="FFFFFF"/>
          <w14:textFill>
            <w14:solidFill>
              <w14:schemeClr w14:val="tx1"/>
            </w14:solidFill>
          </w14:textFill>
        </w:rPr>
        <w:t>在宿舍楼道、公共区域安装具备 AI 行为识别功能的监控设备，一旦发现异常立即触发声光报警并推送至宿管终端，管理效率提升70%。</w:t>
      </w:r>
    </w:p>
    <w:p w14:paraId="75E81590">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ascii="仿宋" w:hAnsi="仿宋" w:eastAsia="仿宋" w:cs="仿宋"/>
          <w:b w:val="0"/>
          <w:bCs w:val="0"/>
          <w:color w:val="000000" w:themeColor="text1"/>
          <w:sz w:val="24"/>
          <w:szCs w:val="24"/>
          <w:shd w:val="clear" w:color="auto" w:fill="FFFFFF"/>
          <w14:textFill>
            <w14:solidFill>
              <w14:schemeClr w14:val="tx1"/>
            </w14:solidFill>
          </w14:textFill>
        </w:rPr>
      </w:pPr>
      <w:r>
        <w:rPr>
          <w:rFonts w:hint="eastAsia" w:ascii="仿宋" w:hAnsi="仿宋" w:eastAsia="仿宋" w:cs="仿宋"/>
          <w:b w:val="0"/>
          <w:bCs w:val="0"/>
          <w:color w:val="000000" w:themeColor="text1"/>
          <w:sz w:val="24"/>
          <w:szCs w:val="24"/>
          <w:shd w:val="clear" w:color="auto" w:fill="FFFFFF"/>
          <w14:textFill>
            <w14:solidFill>
              <w14:schemeClr w14:val="tx1"/>
            </w14:solidFill>
          </w14:textFill>
        </w:rPr>
        <w:t>3.宿舍服务数字化升级</w:t>
      </w:r>
    </w:p>
    <w:p w14:paraId="45D2584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color w:val="000000" w:themeColor="text1"/>
          <w:sz w:val="24"/>
          <w:szCs w:val="24"/>
          <w:shd w:val="clear" w:color="auto" w:fill="FFFFFF"/>
          <w14:textFill>
            <w14:solidFill>
              <w14:schemeClr w14:val="tx1"/>
            </w14:solidFill>
          </w14:textFill>
        </w:rPr>
      </w:pPr>
      <w:r>
        <w:rPr>
          <w:rFonts w:hint="eastAsia" w:ascii="仿宋" w:hAnsi="仿宋" w:eastAsia="仿宋" w:cs="仿宋"/>
          <w:color w:val="000000" w:themeColor="text1"/>
          <w:sz w:val="24"/>
          <w:szCs w:val="24"/>
          <w:shd w:val="clear" w:color="auto" w:fill="FFFFFF"/>
          <w14:textFill>
            <w14:solidFill>
              <w14:schemeClr w14:val="tx1"/>
            </w14:solidFill>
          </w14:textFill>
        </w:rPr>
        <w:t>开发智慧宿舍管理子系统，</w:t>
      </w:r>
      <w:r>
        <w:rPr>
          <w:rFonts w:hint="eastAsia" w:ascii="仿宋" w:hAnsi="仿宋" w:eastAsia="仿宋" w:cs="仿宋"/>
          <w:color w:val="000000" w:themeColor="text1"/>
          <w:sz w:val="24"/>
          <w:szCs w:val="24"/>
          <w:shd w:val="clear" w:color="auto" w:fill="FFFFFF"/>
          <w:lang w:eastAsia="zh-CN"/>
          <w14:textFill>
            <w14:solidFill>
              <w14:schemeClr w14:val="tx1"/>
            </w14:solidFill>
          </w14:textFill>
        </w:rPr>
        <w:t>班主任</w:t>
      </w:r>
      <w:r>
        <w:rPr>
          <w:rFonts w:hint="eastAsia" w:ascii="仿宋" w:hAnsi="仿宋" w:eastAsia="仿宋" w:cs="仿宋"/>
          <w:color w:val="000000" w:themeColor="text1"/>
          <w:sz w:val="24"/>
          <w:szCs w:val="24"/>
          <w:shd w:val="clear" w:color="auto" w:fill="FFFFFF"/>
          <w14:textFill>
            <w14:solidFill>
              <w14:schemeClr w14:val="tx1"/>
            </w14:solidFill>
          </w14:textFill>
        </w:rPr>
        <w:t>可在线安排学生住宿、提交学生请假销假、调换宿舍申请等业务，宿管人员通过系统接收工单并实时反馈处理进度</w:t>
      </w:r>
      <w:r>
        <w:rPr>
          <w:rFonts w:hint="eastAsia" w:ascii="仿宋" w:hAnsi="仿宋" w:eastAsia="仿宋" w:cs="仿宋"/>
          <w:color w:val="000000" w:themeColor="text1"/>
          <w:sz w:val="24"/>
          <w:szCs w:val="24"/>
          <w:shd w:val="clear" w:color="auto" w:fill="FFFFFF"/>
          <w:lang w:eastAsia="zh-CN"/>
          <w14:textFill>
            <w14:solidFill>
              <w14:schemeClr w14:val="tx1"/>
            </w14:solidFill>
          </w14:textFill>
        </w:rPr>
        <w:t>，提升了宿舍管理效率</w:t>
      </w:r>
      <w:r>
        <w:rPr>
          <w:rFonts w:hint="eastAsia" w:ascii="仿宋" w:hAnsi="仿宋" w:eastAsia="仿宋" w:cs="仿宋"/>
          <w:color w:val="000000" w:themeColor="text1"/>
          <w:sz w:val="24"/>
          <w:szCs w:val="24"/>
          <w:shd w:val="clear" w:color="auto" w:fill="FFFFFF"/>
          <w14:textFill>
            <w14:solidFill>
              <w14:schemeClr w14:val="tx1"/>
            </w14:solidFill>
          </w14:textFill>
        </w:rPr>
        <w:t>。</w:t>
      </w:r>
    </w:p>
    <w:p w14:paraId="038B1669">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shd w:val="clear" w:color="auto" w:fill="FFFFFF"/>
          <w14:textFill>
            <w14:solidFill>
              <w14:schemeClr w14:val="tx1"/>
            </w14:solidFill>
          </w14:textFill>
        </w:rPr>
      </w:pPr>
    </w:p>
    <w:p w14:paraId="7D844193">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仿宋" w:hAnsi="仿宋" w:eastAsia="仿宋" w:cs="仿宋"/>
          <w:color w:val="000000" w:themeColor="text1"/>
          <w:sz w:val="32"/>
          <w:szCs w:val="32"/>
          <w:shd w:val="clear" w:color="auto" w:fill="FFFFFF"/>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7456" behindDoc="0" locked="0" layoutInCell="1" allowOverlap="1">
            <wp:simplePos x="0" y="0"/>
            <wp:positionH relativeFrom="column">
              <wp:posOffset>610235</wp:posOffset>
            </wp:positionH>
            <wp:positionV relativeFrom="paragraph">
              <wp:posOffset>-33655</wp:posOffset>
            </wp:positionV>
            <wp:extent cx="4679950" cy="2063115"/>
            <wp:effectExtent l="9525" t="9525" r="15875" b="2286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7"/>
                    <a:srcRect t="14182" b="14182"/>
                    <a:stretch>
                      <a:fillRect/>
                    </a:stretch>
                  </pic:blipFill>
                  <pic:spPr>
                    <a:xfrm>
                      <a:off x="0" y="0"/>
                      <a:ext cx="4679950" cy="2063115"/>
                    </a:xfrm>
                    <a:prstGeom prst="rect">
                      <a:avLst/>
                    </a:prstGeom>
                    <a:noFill/>
                    <a:ln>
                      <a:solidFill>
                        <a:schemeClr val="bg1">
                          <a:lumMod val="75000"/>
                        </a:schemeClr>
                      </a:solidFill>
                    </a:ln>
                  </pic:spPr>
                </pic:pic>
              </a:graphicData>
            </a:graphic>
          </wp:anchor>
        </w:drawing>
      </w:r>
    </w:p>
    <w:p w14:paraId="522CC7B6">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shd w:val="clear" w:color="auto" w:fill="FFFFFF"/>
          <w14:textFill>
            <w14:solidFill>
              <w14:schemeClr w14:val="tx1"/>
            </w14:solidFill>
          </w14:textFill>
        </w:rPr>
      </w:pPr>
    </w:p>
    <w:p w14:paraId="129C0A07">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shd w:val="clear" w:color="auto" w:fill="FFFFFF"/>
          <w14:textFill>
            <w14:solidFill>
              <w14:schemeClr w14:val="tx1"/>
            </w14:solidFill>
          </w14:textFill>
        </w:rPr>
      </w:pPr>
    </w:p>
    <w:p w14:paraId="0EE855AF">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shd w:val="clear" w:color="auto" w:fill="FFFFFF"/>
          <w14:textFill>
            <w14:solidFill>
              <w14:schemeClr w14:val="tx1"/>
            </w14:solidFill>
          </w14:textFill>
        </w:rPr>
      </w:pPr>
    </w:p>
    <w:p w14:paraId="6F9ECBD2">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shd w:val="clear" w:color="auto" w:fill="FFFFFF"/>
          <w14:textFill>
            <w14:solidFill>
              <w14:schemeClr w14:val="tx1"/>
            </w14:solidFill>
          </w14:textFill>
        </w:rPr>
      </w:pPr>
    </w:p>
    <w:p w14:paraId="0C4B92EC">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color w:val="000000" w:themeColor="text1"/>
          <w:sz w:val="24"/>
          <w:szCs w:val="24"/>
          <w:shd w:val="clear" w:color="auto" w:fill="FFFFFF"/>
          <w:lang w:eastAsia="zh-CN"/>
          <w14:textFill>
            <w14:solidFill>
              <w14:schemeClr w14:val="tx1"/>
            </w14:solidFill>
          </w14:textFill>
        </w:rPr>
      </w:pPr>
    </w:p>
    <w:p w14:paraId="267CA679">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color w:val="000000" w:themeColor="text1"/>
          <w:sz w:val="24"/>
          <w:szCs w:val="24"/>
          <w:shd w:val="clear" w:color="auto" w:fill="FFFFFF"/>
          <w:lang w:eastAsia="zh-CN"/>
          <w14:textFill>
            <w14:solidFill>
              <w14:schemeClr w14:val="tx1"/>
            </w14:solidFill>
          </w14:textFill>
        </w:rPr>
      </w:pPr>
    </w:p>
    <w:p w14:paraId="0AB5E156">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color w:val="000000" w:themeColor="text1"/>
          <w:sz w:val="24"/>
          <w:szCs w:val="24"/>
          <w:shd w:val="clear" w:color="auto" w:fill="FFFFFF"/>
          <w:lang w:eastAsia="zh-CN"/>
          <w14:textFill>
            <w14:solidFill>
              <w14:schemeClr w14:val="tx1"/>
            </w14:solidFill>
          </w14:textFill>
        </w:rPr>
      </w:pPr>
    </w:p>
    <w:p w14:paraId="1E029280">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color w:val="000000" w:themeColor="text1"/>
          <w:sz w:val="24"/>
          <w:szCs w:val="24"/>
          <w:shd w:val="clear" w:color="auto" w:fill="FFFFFF"/>
          <w:lang w:val="en-US" w:eastAsia="zh-CN"/>
          <w14:textFill>
            <w14:solidFill>
              <w14:schemeClr w14:val="tx1"/>
            </w14:solidFill>
          </w14:textFill>
        </w:rPr>
      </w:pPr>
      <w:r>
        <w:rPr>
          <w:rFonts w:hint="eastAsia" w:ascii="仿宋" w:hAnsi="仿宋" w:eastAsia="仿宋" w:cs="仿宋"/>
          <w:b/>
          <w:bCs/>
          <w:color w:val="000000" w:themeColor="text1"/>
          <w:sz w:val="24"/>
          <w:szCs w:val="24"/>
          <w:shd w:val="clear" w:color="auto" w:fill="FFFFFF"/>
          <w:lang w:eastAsia="zh-CN"/>
          <w14:textFill>
            <w14:solidFill>
              <w14:schemeClr w14:val="tx1"/>
            </w14:solidFill>
          </w14:textFill>
        </w:rPr>
        <w:t>图</w:t>
      </w:r>
      <w:r>
        <w:rPr>
          <w:rFonts w:hint="eastAsia" w:ascii="仿宋" w:hAnsi="仿宋" w:eastAsia="仿宋" w:cs="仿宋"/>
          <w:b/>
          <w:bCs/>
          <w:color w:val="000000" w:themeColor="text1"/>
          <w:sz w:val="24"/>
          <w:szCs w:val="24"/>
          <w:shd w:val="clear" w:color="auto" w:fill="FFFFFF"/>
          <w:lang w:val="en-US" w:eastAsia="zh-CN"/>
          <w14:textFill>
            <w14:solidFill>
              <w14:schemeClr w14:val="tx1"/>
            </w14:solidFill>
          </w14:textFill>
        </w:rPr>
        <w:t xml:space="preserve">1-5 </w:t>
      </w:r>
      <w:r>
        <w:rPr>
          <w:rFonts w:hint="eastAsia" w:ascii="仿宋" w:hAnsi="仿宋" w:eastAsia="仿宋" w:cs="仿宋"/>
          <w:b/>
          <w:bCs/>
          <w:color w:val="000000" w:themeColor="text1"/>
          <w:sz w:val="24"/>
          <w:szCs w:val="24"/>
          <w:shd w:val="clear" w:color="auto" w:fill="FFFFFF"/>
          <w:lang w:eastAsia="zh-CN"/>
          <w14:textFill>
            <w14:solidFill>
              <w14:schemeClr w14:val="tx1"/>
            </w14:solidFill>
          </w14:textFill>
        </w:rPr>
        <w:t>智慧宿管</w:t>
      </w:r>
      <w:r>
        <w:rPr>
          <w:rFonts w:hint="eastAsia" w:ascii="仿宋" w:hAnsi="仿宋" w:eastAsia="仿宋" w:cs="仿宋"/>
          <w:b/>
          <w:bCs/>
          <w:color w:val="000000" w:themeColor="text1"/>
          <w:sz w:val="24"/>
          <w:szCs w:val="24"/>
          <w:shd w:val="clear" w:color="auto" w:fill="FFFFFF"/>
          <w:lang w:val="en-US" w:eastAsia="zh-CN"/>
          <w14:textFill>
            <w14:solidFill>
              <w14:schemeClr w14:val="tx1"/>
            </w14:solidFill>
          </w14:textFill>
        </w:rPr>
        <w:t>-宿舍在线分配系统</w:t>
      </w:r>
    </w:p>
    <w:p w14:paraId="71FDD5AD">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center"/>
        <w:textAlignment w:val="auto"/>
        <w:rPr>
          <w:color w:val="000000" w:themeColor="text1"/>
          <w14:textFill>
            <w14:solidFill>
              <w14:schemeClr w14:val="tx1"/>
            </w14:solidFill>
          </w14:textFill>
        </w:rPr>
      </w:pPr>
    </w:p>
    <w:p w14:paraId="25BFC410">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center"/>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8480" behindDoc="0" locked="0" layoutInCell="1" allowOverlap="1">
            <wp:simplePos x="0" y="0"/>
            <wp:positionH relativeFrom="column">
              <wp:posOffset>704850</wp:posOffset>
            </wp:positionH>
            <wp:positionV relativeFrom="paragraph">
              <wp:posOffset>41910</wp:posOffset>
            </wp:positionV>
            <wp:extent cx="4679950" cy="2188845"/>
            <wp:effectExtent l="9525" t="9525" r="15875" b="1143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8"/>
                    <a:srcRect t="9199" b="14799"/>
                    <a:stretch>
                      <a:fillRect/>
                    </a:stretch>
                  </pic:blipFill>
                  <pic:spPr>
                    <a:xfrm>
                      <a:off x="0" y="0"/>
                      <a:ext cx="4679950" cy="2188845"/>
                    </a:xfrm>
                    <a:prstGeom prst="rect">
                      <a:avLst/>
                    </a:prstGeom>
                    <a:noFill/>
                    <a:ln>
                      <a:solidFill>
                        <a:schemeClr val="bg1">
                          <a:lumMod val="75000"/>
                        </a:schemeClr>
                      </a:solidFill>
                    </a:ln>
                  </pic:spPr>
                </pic:pic>
              </a:graphicData>
            </a:graphic>
          </wp:anchor>
        </w:drawing>
      </w:r>
    </w:p>
    <w:p w14:paraId="5570E10E">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center"/>
        <w:textAlignment w:val="auto"/>
        <w:rPr>
          <w:color w:val="000000" w:themeColor="text1"/>
          <w14:textFill>
            <w14:solidFill>
              <w14:schemeClr w14:val="tx1"/>
            </w14:solidFill>
          </w14:textFill>
        </w:rPr>
      </w:pPr>
    </w:p>
    <w:p w14:paraId="23A0FC48">
      <w:pPr>
        <w:keepNext w:val="0"/>
        <w:keepLines w:val="0"/>
        <w:pageBreakBefore w:val="0"/>
        <w:widowControl w:val="0"/>
        <w:kinsoku/>
        <w:wordWrap/>
        <w:overflowPunct/>
        <w:topLinePunct w:val="0"/>
        <w:autoSpaceDE/>
        <w:autoSpaceDN/>
        <w:bidi w:val="0"/>
        <w:adjustRightInd/>
        <w:snapToGrid/>
        <w:spacing w:line="440" w:lineRule="exact"/>
        <w:ind w:firstLine="420" w:firstLineChars="200"/>
        <w:jc w:val="center"/>
        <w:textAlignment w:val="auto"/>
        <w:rPr>
          <w:color w:val="000000" w:themeColor="text1"/>
          <w14:textFill>
            <w14:solidFill>
              <w14:schemeClr w14:val="tx1"/>
            </w14:solidFill>
          </w14:textFill>
        </w:rPr>
      </w:pPr>
    </w:p>
    <w:p w14:paraId="359C1997">
      <w:pPr>
        <w:keepNext w:val="0"/>
        <w:keepLines w:val="0"/>
        <w:pageBreakBefore w:val="0"/>
        <w:widowControl w:val="0"/>
        <w:kinsoku/>
        <w:wordWrap/>
        <w:overflowPunct/>
        <w:topLinePunct w:val="0"/>
        <w:autoSpaceDE/>
        <w:autoSpaceDN/>
        <w:bidi w:val="0"/>
        <w:adjustRightInd/>
        <w:snapToGrid/>
        <w:spacing w:line="440" w:lineRule="exact"/>
        <w:ind w:firstLine="560" w:firstLineChars="200"/>
        <w:jc w:val="center"/>
        <w:textAlignment w:val="auto"/>
        <w:rPr>
          <w:rFonts w:hint="default" w:ascii="仿宋" w:hAnsi="仿宋" w:eastAsia="仿宋" w:cs="仿宋"/>
          <w:color w:val="000000" w:themeColor="text1"/>
          <w:sz w:val="28"/>
          <w:szCs w:val="28"/>
          <w:shd w:val="clear" w:color="auto" w:fill="FFFFFF"/>
          <w:lang w:val="en-US" w:eastAsia="zh-CN"/>
          <w14:textFill>
            <w14:solidFill>
              <w14:schemeClr w14:val="tx1"/>
            </w14:solidFill>
          </w14:textFill>
        </w:rPr>
      </w:pPr>
    </w:p>
    <w:p w14:paraId="29906C17">
      <w:pPr>
        <w:keepNext w:val="0"/>
        <w:keepLines w:val="0"/>
        <w:pageBreakBefore w:val="0"/>
        <w:widowControl w:val="0"/>
        <w:kinsoku/>
        <w:wordWrap/>
        <w:overflowPunct/>
        <w:topLinePunct w:val="0"/>
        <w:autoSpaceDE/>
        <w:autoSpaceDN/>
        <w:bidi w:val="0"/>
        <w:adjustRightInd/>
        <w:snapToGrid/>
        <w:spacing w:line="440" w:lineRule="exact"/>
        <w:ind w:firstLine="560" w:firstLineChars="200"/>
        <w:jc w:val="center"/>
        <w:textAlignment w:val="auto"/>
        <w:rPr>
          <w:rFonts w:hint="default" w:ascii="仿宋" w:hAnsi="仿宋" w:eastAsia="仿宋" w:cs="仿宋"/>
          <w:color w:val="000000" w:themeColor="text1"/>
          <w:sz w:val="28"/>
          <w:szCs w:val="28"/>
          <w:shd w:val="clear" w:color="auto" w:fill="FFFFFF"/>
          <w:lang w:val="en-US" w:eastAsia="zh-CN"/>
          <w14:textFill>
            <w14:solidFill>
              <w14:schemeClr w14:val="tx1"/>
            </w14:solidFill>
          </w14:textFill>
        </w:rPr>
      </w:pPr>
    </w:p>
    <w:p w14:paraId="7A7F7F3D">
      <w:pPr>
        <w:keepNext w:val="0"/>
        <w:keepLines w:val="0"/>
        <w:pageBreakBefore w:val="0"/>
        <w:widowControl w:val="0"/>
        <w:kinsoku/>
        <w:wordWrap/>
        <w:overflowPunct/>
        <w:topLinePunct w:val="0"/>
        <w:autoSpaceDE/>
        <w:autoSpaceDN/>
        <w:bidi w:val="0"/>
        <w:adjustRightInd/>
        <w:snapToGrid/>
        <w:spacing w:line="440" w:lineRule="exact"/>
        <w:ind w:firstLine="560" w:firstLineChars="200"/>
        <w:jc w:val="center"/>
        <w:textAlignment w:val="auto"/>
        <w:rPr>
          <w:rFonts w:hint="default" w:ascii="仿宋" w:hAnsi="仿宋" w:eastAsia="仿宋" w:cs="仿宋"/>
          <w:color w:val="000000" w:themeColor="text1"/>
          <w:sz w:val="28"/>
          <w:szCs w:val="28"/>
          <w:shd w:val="clear" w:color="auto" w:fill="FFFFFF"/>
          <w:lang w:val="en-US" w:eastAsia="zh-CN"/>
          <w14:textFill>
            <w14:solidFill>
              <w14:schemeClr w14:val="tx1"/>
            </w14:solidFill>
          </w14:textFill>
        </w:rPr>
      </w:pPr>
    </w:p>
    <w:p w14:paraId="23CE9C45">
      <w:pPr>
        <w:keepNext w:val="0"/>
        <w:keepLines w:val="0"/>
        <w:pageBreakBefore w:val="0"/>
        <w:widowControl w:val="0"/>
        <w:kinsoku/>
        <w:wordWrap/>
        <w:overflowPunct/>
        <w:topLinePunct w:val="0"/>
        <w:autoSpaceDE/>
        <w:autoSpaceDN/>
        <w:bidi w:val="0"/>
        <w:adjustRightInd/>
        <w:snapToGrid/>
        <w:spacing w:line="440" w:lineRule="exact"/>
        <w:ind w:firstLine="560" w:firstLineChars="200"/>
        <w:jc w:val="center"/>
        <w:textAlignment w:val="auto"/>
        <w:rPr>
          <w:rFonts w:hint="default" w:ascii="仿宋" w:hAnsi="仿宋" w:eastAsia="仿宋" w:cs="仿宋"/>
          <w:color w:val="000000" w:themeColor="text1"/>
          <w:sz w:val="28"/>
          <w:szCs w:val="28"/>
          <w:shd w:val="clear" w:color="auto" w:fill="FFFFFF"/>
          <w:lang w:val="en-US" w:eastAsia="zh-CN"/>
          <w14:textFill>
            <w14:solidFill>
              <w14:schemeClr w14:val="tx1"/>
            </w14:solidFill>
          </w14:textFill>
        </w:rPr>
      </w:pPr>
    </w:p>
    <w:p w14:paraId="34498F18">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仿宋" w:hAnsi="仿宋" w:eastAsia="仿宋" w:cs="仿宋"/>
          <w:color w:val="000000" w:themeColor="text1"/>
          <w:sz w:val="24"/>
          <w:szCs w:val="24"/>
          <w:shd w:val="clear" w:color="auto" w:fill="FFFFFF"/>
          <w:lang w:eastAsia="zh-CN"/>
          <w14:textFill>
            <w14:solidFill>
              <w14:schemeClr w14:val="tx1"/>
            </w14:solidFill>
          </w14:textFill>
        </w:rPr>
      </w:pPr>
    </w:p>
    <w:p w14:paraId="2B6E8474">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color w:val="000000" w:themeColor="text1"/>
          <w:sz w:val="24"/>
          <w:szCs w:val="24"/>
          <w:shd w:val="clear" w:color="auto" w:fill="FFFFFF"/>
          <w:lang w:val="en-US" w:eastAsia="zh-CN"/>
          <w14:textFill>
            <w14:solidFill>
              <w14:schemeClr w14:val="tx1"/>
            </w14:solidFill>
          </w14:textFill>
        </w:rPr>
      </w:pPr>
      <w:r>
        <w:rPr>
          <w:rFonts w:hint="eastAsia" w:ascii="仿宋" w:hAnsi="仿宋" w:eastAsia="仿宋" w:cs="仿宋"/>
          <w:b/>
          <w:bCs/>
          <w:color w:val="000000" w:themeColor="text1"/>
          <w:sz w:val="24"/>
          <w:szCs w:val="24"/>
          <w:shd w:val="clear" w:color="auto" w:fill="FFFFFF"/>
          <w:lang w:eastAsia="zh-CN"/>
          <w14:textFill>
            <w14:solidFill>
              <w14:schemeClr w14:val="tx1"/>
            </w14:solidFill>
          </w14:textFill>
        </w:rPr>
        <w:t>图</w:t>
      </w:r>
      <w:r>
        <w:rPr>
          <w:rFonts w:hint="eastAsia" w:ascii="仿宋" w:hAnsi="仿宋" w:eastAsia="仿宋" w:cs="仿宋"/>
          <w:b/>
          <w:bCs/>
          <w:color w:val="000000" w:themeColor="text1"/>
          <w:sz w:val="24"/>
          <w:szCs w:val="24"/>
          <w:shd w:val="clear" w:color="auto" w:fill="FFFFFF"/>
          <w:lang w:val="en-US" w:eastAsia="zh-CN"/>
          <w14:textFill>
            <w14:solidFill>
              <w14:schemeClr w14:val="tx1"/>
            </w14:solidFill>
          </w14:textFill>
        </w:rPr>
        <w:t>1-6</w:t>
      </w:r>
      <w:r>
        <w:rPr>
          <w:rFonts w:hint="eastAsia" w:ascii="仿宋" w:hAnsi="仿宋" w:eastAsia="仿宋" w:cs="仿宋"/>
          <w:b/>
          <w:bCs/>
          <w:color w:val="000000" w:themeColor="text1"/>
          <w:sz w:val="24"/>
          <w:szCs w:val="24"/>
          <w:shd w:val="clear" w:color="auto" w:fill="FFFFFF"/>
          <w:lang w:eastAsia="zh-CN"/>
          <w14:textFill>
            <w14:solidFill>
              <w14:schemeClr w14:val="tx1"/>
            </w14:solidFill>
          </w14:textFill>
        </w:rPr>
        <w:t>智慧宿管－</w:t>
      </w:r>
      <w:r>
        <w:rPr>
          <w:rFonts w:hint="eastAsia" w:ascii="仿宋" w:hAnsi="仿宋" w:eastAsia="仿宋" w:cs="仿宋"/>
          <w:b/>
          <w:bCs/>
          <w:color w:val="000000" w:themeColor="text1"/>
          <w:sz w:val="24"/>
          <w:szCs w:val="24"/>
          <w:shd w:val="clear" w:color="auto" w:fill="FFFFFF"/>
          <w:lang w:val="en-US" w:eastAsia="zh-CN"/>
          <w14:textFill>
            <w14:solidFill>
              <w14:schemeClr w14:val="tx1"/>
            </w14:solidFill>
          </w14:textFill>
        </w:rPr>
        <w:t>学生归寝考勤统计</w:t>
      </w:r>
    </w:p>
    <w:p w14:paraId="15537C3A">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440" w:lineRule="exact"/>
        <w:jc w:val="both"/>
        <w:textAlignment w:val="auto"/>
        <w:rPr>
          <w:rFonts w:hint="eastAsia" w:ascii="黑体" w:hAnsi="黑体" w:cs="黑体"/>
          <w:b/>
          <w:bCs/>
          <w:color w:val="000000" w:themeColor="text1"/>
          <w:sz w:val="30"/>
          <w:szCs w:val="30"/>
          <w:shd w:val="clear" w:color="auto" w:fill="FFFFFF"/>
          <w:lang w:val="en-US" w:eastAsia="zh-CN"/>
          <w14:textFill>
            <w14:solidFill>
              <w14:schemeClr w14:val="tx1"/>
            </w14:solidFill>
          </w14:textFill>
        </w:rPr>
      </w:pPr>
      <w:r>
        <w:rPr>
          <w:rFonts w:hint="eastAsia" w:ascii="黑体" w:hAnsi="黑体" w:eastAsia="黑体" w:cs="黑体"/>
          <w:b/>
          <w:bCs/>
          <w:color w:val="000000" w:themeColor="text1"/>
          <w:sz w:val="30"/>
          <w:szCs w:val="30"/>
          <w:shd w:val="clear" w:color="auto" w:fill="FFFFFF"/>
          <w:lang w:eastAsia="zh-CN"/>
          <w14:textFill>
            <w14:solidFill>
              <w14:schemeClr w14:val="tx1"/>
            </w14:solidFill>
          </w14:textFill>
        </w:rPr>
        <w:t>案例</w:t>
      </w:r>
      <w:r>
        <w:rPr>
          <w:rFonts w:hint="eastAsia" w:ascii="黑体" w:hAnsi="黑体" w:eastAsia="黑体" w:cs="黑体"/>
          <w:b/>
          <w:bCs/>
          <w:color w:val="000000" w:themeColor="text1"/>
          <w:sz w:val="30"/>
          <w:szCs w:val="30"/>
          <w:shd w:val="clear" w:color="auto" w:fill="FFFFFF"/>
          <w:lang w:val="en-US" w:eastAsia="zh-CN"/>
          <w14:textFill>
            <w14:solidFill>
              <w14:schemeClr w14:val="tx1"/>
            </w14:solidFill>
          </w14:textFill>
        </w:rPr>
        <w:t>1-</w:t>
      </w:r>
      <w:r>
        <w:rPr>
          <w:rFonts w:hint="eastAsia" w:ascii="黑体" w:hAnsi="黑体" w:cs="黑体"/>
          <w:b/>
          <w:bCs/>
          <w:color w:val="000000" w:themeColor="text1"/>
          <w:sz w:val="30"/>
          <w:szCs w:val="30"/>
          <w:shd w:val="clear" w:color="auto" w:fill="FFFFFF"/>
          <w:lang w:val="en-US" w:eastAsia="zh-CN"/>
          <w14:textFill>
            <w14:solidFill>
              <w14:schemeClr w14:val="tx1"/>
            </w14:solidFill>
          </w14:textFill>
        </w:rPr>
        <w:t xml:space="preserve">5     </w:t>
      </w:r>
    </w:p>
    <w:p w14:paraId="3C674E1E">
      <w:pPr>
        <w:pStyle w:val="5"/>
        <w:keepNext w:val="0"/>
        <w:keepLines w:val="0"/>
        <w:pageBreakBefore w:val="0"/>
        <w:widowControl/>
        <w:suppressLineNumbers w:val="0"/>
        <w:kinsoku/>
        <w:wordWrap/>
        <w:overflowPunct/>
        <w:topLinePunct w:val="0"/>
        <w:autoSpaceDE/>
        <w:autoSpaceDN/>
        <w:bidi w:val="0"/>
        <w:adjustRightInd/>
        <w:snapToGrid/>
        <w:spacing w:beforeAutospacing="0" w:afterAutospacing="0" w:line="440" w:lineRule="exact"/>
        <w:jc w:val="center"/>
        <w:textAlignment w:val="auto"/>
        <w:rPr>
          <w:rFonts w:hint="eastAsia" w:ascii="仿宋" w:hAnsi="仿宋" w:eastAsia="仿宋" w:cs="仿宋"/>
          <w:b/>
          <w:bCs/>
          <w:color w:val="000000" w:themeColor="text1"/>
          <w:sz w:val="30"/>
          <w:szCs w:val="30"/>
          <w14:textFill>
            <w14:solidFill>
              <w14:schemeClr w14:val="tx1"/>
            </w14:solidFill>
          </w14:textFill>
        </w:rPr>
      </w:pPr>
      <w:r>
        <w:rPr>
          <w:rFonts w:hint="eastAsia" w:ascii="仿宋" w:hAnsi="仿宋" w:eastAsia="仿宋" w:cs="仿宋"/>
          <w:b/>
          <w:bCs/>
          <w:color w:val="000000" w:themeColor="text1"/>
          <w:sz w:val="30"/>
          <w:szCs w:val="30"/>
          <w14:textFill>
            <w14:solidFill>
              <w14:schemeClr w14:val="tx1"/>
            </w14:solidFill>
          </w14:textFill>
        </w:rPr>
        <w:t>精准赋能强技能 特色</w:t>
      </w:r>
      <w:r>
        <w:rPr>
          <w:rFonts w:hint="eastAsia" w:ascii="仿宋" w:hAnsi="仿宋" w:eastAsia="仿宋" w:cs="仿宋"/>
          <w:b/>
          <w:bCs/>
          <w:color w:val="000000" w:themeColor="text1"/>
          <w:sz w:val="30"/>
          <w:szCs w:val="30"/>
          <w:lang w:val="en-US" w:eastAsia="zh-CN"/>
          <w14:textFill>
            <w14:solidFill>
              <w14:schemeClr w14:val="tx1"/>
            </w14:solidFill>
          </w14:textFill>
        </w:rPr>
        <w:t>人才</w:t>
      </w:r>
      <w:r>
        <w:rPr>
          <w:rFonts w:hint="eastAsia" w:ascii="仿宋" w:hAnsi="仿宋" w:eastAsia="仿宋" w:cs="仿宋"/>
          <w:b/>
          <w:bCs/>
          <w:color w:val="000000" w:themeColor="text1"/>
          <w:sz w:val="30"/>
          <w:szCs w:val="30"/>
          <w14:textFill>
            <w14:solidFill>
              <w14:schemeClr w14:val="tx1"/>
            </w14:solidFill>
          </w14:textFill>
        </w:rPr>
        <w:t>培育筑根基</w:t>
      </w:r>
    </w:p>
    <w:p w14:paraId="3269CF72">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仿宋" w:hAnsi="仿宋" w:eastAsia="仿宋" w:cs="仿宋"/>
          <w:color w:val="000000" w:themeColor="text1"/>
          <w:kern w:val="0"/>
          <w:sz w:val="24"/>
          <w:szCs w:val="24"/>
          <w:lang w:val="en-US" w:eastAsia="zh-CN" w:bidi="ar"/>
          <w14:textFill>
            <w14:solidFill>
              <w14:schemeClr w14:val="tx1"/>
            </w14:solidFill>
          </w14:textFill>
        </w:rPr>
        <w:t>学校</w:t>
      </w:r>
      <w:r>
        <w:rPr>
          <w:rFonts w:hint="default" w:ascii="仿宋" w:hAnsi="仿宋" w:eastAsia="仿宋" w:cs="仿宋"/>
          <w:color w:val="000000" w:themeColor="text1"/>
          <w:kern w:val="0"/>
          <w:sz w:val="24"/>
          <w:szCs w:val="24"/>
          <w:lang w:val="en-US" w:eastAsia="zh-CN" w:bidi="ar"/>
          <w14:textFill>
            <w14:solidFill>
              <w14:schemeClr w14:val="tx1"/>
            </w14:solidFill>
          </w14:textFill>
        </w:rPr>
        <w:t>锚定区域产业升级与民生就业需求，以动物防疫员、推拿按摩员等特色工种为突破口，匠心打造 “精准对接、实战赋能、长效保障” 的人才培养闭环。</w:t>
      </w:r>
    </w:p>
    <w:p w14:paraId="730DFE7C">
      <w:pPr>
        <w:keepNext w:val="0"/>
        <w:keepLines w:val="0"/>
        <w:pageBreakBefore w:val="0"/>
        <w:widowControl/>
        <w:suppressLineNumbers w:val="0"/>
        <w:kinsoku/>
        <w:wordWrap/>
        <w:overflowPunct/>
        <w:topLinePunct w:val="0"/>
        <w:autoSpaceDE/>
        <w:autoSpaceDN/>
        <w:bidi w:val="0"/>
        <w:adjustRightInd/>
        <w:snapToGrid/>
        <w:spacing w:line="440" w:lineRule="exact"/>
        <w:ind w:firstLine="480" w:firstLineChars="200"/>
        <w:jc w:val="left"/>
        <w:textAlignment w:val="auto"/>
        <w:rPr>
          <w:rFonts w:hint="default" w:ascii="仿宋" w:hAnsi="仿宋" w:eastAsia="仿宋" w:cs="仿宋"/>
          <w:color w:val="000000" w:themeColor="text1"/>
          <w:kern w:val="0"/>
          <w:sz w:val="24"/>
          <w:szCs w:val="24"/>
          <w:lang w:val="en-US" w:eastAsia="zh-CN" w:bidi="ar"/>
          <w14:textFill>
            <w14:solidFill>
              <w14:schemeClr w14:val="tx1"/>
            </w14:solidFill>
          </w14:textFill>
        </w:rPr>
      </w:pPr>
      <w:r>
        <w:rPr>
          <w:rFonts w:hint="default" w:ascii="仿宋" w:hAnsi="仿宋" w:eastAsia="仿宋" w:cs="仿宋"/>
          <w:color w:val="000000" w:themeColor="text1"/>
          <w:kern w:val="0"/>
          <w:sz w:val="24"/>
          <w:szCs w:val="24"/>
          <w:lang w:val="en-US" w:eastAsia="zh-CN" w:bidi="ar"/>
          <w14:textFill>
            <w14:solidFill>
              <w14:schemeClr w14:val="tx1"/>
            </w14:solidFill>
          </w14:textFill>
        </w:rPr>
        <w:t>面向畜牧业疫病防控刚需，构建 “政策解读 + 技术实操 + 案例复盘” 三维培训体系，创新 “理论精讲 + 分组实操 + 情景模拟” 教学模式，依托实训基地开展手把手教学，配套长效技术支持，夯实基层防疫技能根基；瞄准健康产业发展热潮，打造 “基础夯实 + 特色赋能 + 实践锤炼” 培育模式，开设多元课程并组织社区公益实操，助力学员技能与经验双提升。</w:t>
      </w:r>
    </w:p>
    <w:p w14:paraId="1183C60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ascii="宋体" w:hAnsi="宋体" w:eastAsia="宋体" w:cs="宋体"/>
          <w:color w:val="000000" w:themeColor="text1"/>
          <w:kern w:val="0"/>
          <w:sz w:val="24"/>
          <w:szCs w:val="24"/>
          <w:lang w:val="en-US" w:eastAsia="zh-CN" w:bidi="ar"/>
          <w14:textFill>
            <w14:solidFill>
              <w14:schemeClr w14:val="tx1"/>
            </w14:solidFill>
          </w14:textFill>
        </w:rPr>
      </w:pPr>
      <w:r>
        <w:rPr>
          <w:rFonts w:ascii="宋体" w:hAnsi="宋体" w:eastAsia="宋体" w:cs="宋体"/>
          <w:color w:val="000000" w:themeColor="text1"/>
          <w:kern w:val="0"/>
          <w:sz w:val="24"/>
          <w:szCs w:val="24"/>
          <w:lang w:val="en-US" w:eastAsia="zh-CN" w:bidi="ar"/>
          <w14:textFill>
            <w14:solidFill>
              <w14:schemeClr w14:val="tx1"/>
            </w14:solidFill>
          </w14:textFill>
        </w:rPr>
        <w:drawing>
          <wp:inline distT="0" distB="0" distL="114300" distR="114300">
            <wp:extent cx="4679950" cy="2874645"/>
            <wp:effectExtent l="0" t="0" r="6350" b="1905"/>
            <wp:docPr id="2" name="图片 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4"/>
                    <pic:cNvPicPr>
                      <a:picLocks noChangeAspect="1"/>
                    </pic:cNvPicPr>
                  </pic:nvPicPr>
                  <pic:blipFill>
                    <a:blip r:embed="rId19"/>
                    <a:srcRect t="13165"/>
                    <a:stretch>
                      <a:fillRect/>
                    </a:stretch>
                  </pic:blipFill>
                  <pic:spPr>
                    <a:xfrm>
                      <a:off x="0" y="0"/>
                      <a:ext cx="4679950" cy="2874645"/>
                    </a:xfrm>
                    <a:prstGeom prst="rect">
                      <a:avLst/>
                    </a:prstGeom>
                  </pic:spPr>
                </pic:pic>
              </a:graphicData>
            </a:graphic>
          </wp:inline>
        </w:drawing>
      </w:r>
    </w:p>
    <w:p w14:paraId="111F6509">
      <w:pPr>
        <w:pStyle w:val="3"/>
        <w:keepNext w:val="0"/>
        <w:keepLines w:val="0"/>
        <w:pageBreakBefore w:val="0"/>
        <w:widowControl w:val="0"/>
        <w:kinsoku/>
        <w:wordWrap/>
        <w:overflowPunct/>
        <w:topLinePunct w:val="0"/>
        <w:autoSpaceDE/>
        <w:autoSpaceDN/>
        <w:bidi w:val="0"/>
        <w:adjustRightInd/>
        <w:snapToGrid/>
        <w:spacing w:before="160" w:line="460" w:lineRule="exact"/>
        <w:ind w:right="266" w:firstLine="2848" w:firstLineChars="1100"/>
        <w:jc w:val="both"/>
        <w:textAlignment w:val="auto"/>
        <w:rPr>
          <w:rFonts w:hint="eastAsia" w:ascii="仿宋" w:hAnsi="仿宋" w:eastAsia="仿宋" w:cs="仿宋"/>
          <w:b/>
          <w:bCs/>
          <w:color w:val="000000" w:themeColor="text1"/>
          <w:spacing w:val="9"/>
          <w:sz w:val="24"/>
          <w:szCs w:val="24"/>
          <w:lang w:val="en-US" w:eastAsia="zh-CN"/>
          <w14:textFill>
            <w14:solidFill>
              <w14:schemeClr w14:val="tx1"/>
            </w14:solidFill>
          </w14:textFill>
        </w:rPr>
      </w:pPr>
      <w:r>
        <w:rPr>
          <w:rFonts w:hint="eastAsia" w:ascii="仿宋" w:hAnsi="仿宋" w:eastAsia="仿宋" w:cs="仿宋"/>
          <w:b/>
          <w:bCs/>
          <w:color w:val="000000" w:themeColor="text1"/>
          <w:spacing w:val="9"/>
          <w:sz w:val="24"/>
          <w:szCs w:val="24"/>
          <w:lang w:val="en-US" w:eastAsia="zh-CN"/>
          <w14:textFill>
            <w14:solidFill>
              <w14:schemeClr w14:val="tx1"/>
            </w14:solidFill>
          </w14:textFill>
        </w:rPr>
        <w:t>图1-7 动物防疫员人才技能培训</w:t>
      </w:r>
    </w:p>
    <w:p w14:paraId="247CDE8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ascii="宋体" w:hAnsi="宋体" w:eastAsia="宋体" w:cs="宋体"/>
          <w:color w:val="000000" w:themeColor="text1"/>
          <w:kern w:val="0"/>
          <w:sz w:val="24"/>
          <w:szCs w:val="24"/>
          <w:lang w:val="en-US" w:eastAsia="zh-CN" w:bidi="ar"/>
          <w14:textFill>
            <w14:solidFill>
              <w14:schemeClr w14:val="tx1"/>
            </w14:solidFill>
          </w14:textFill>
        </w:rPr>
      </w:pPr>
      <w:r>
        <w:rPr>
          <w:rFonts w:ascii="宋体" w:hAnsi="宋体" w:eastAsia="宋体" w:cs="宋体"/>
          <w:color w:val="000000" w:themeColor="text1"/>
          <w:kern w:val="0"/>
          <w:sz w:val="24"/>
          <w:szCs w:val="24"/>
          <w:lang w:val="en-US" w:eastAsia="zh-CN" w:bidi="ar"/>
          <w14:textFill>
            <w14:solidFill>
              <w14:schemeClr w14:val="tx1"/>
            </w14:solidFill>
          </w14:textFill>
        </w:rPr>
        <w:drawing>
          <wp:inline distT="0" distB="0" distL="114300" distR="114300">
            <wp:extent cx="4679950" cy="2994025"/>
            <wp:effectExtent l="0" t="0" r="6350" b="15875"/>
            <wp:docPr id="32" name="图片 32"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1111"/>
                    <pic:cNvPicPr>
                      <a:picLocks noChangeAspect="1"/>
                    </pic:cNvPicPr>
                  </pic:nvPicPr>
                  <pic:blipFill>
                    <a:blip r:embed="rId20"/>
                    <a:srcRect t="-1980" b="-1980"/>
                    <a:stretch>
                      <a:fillRect/>
                    </a:stretch>
                  </pic:blipFill>
                  <pic:spPr>
                    <a:xfrm>
                      <a:off x="0" y="0"/>
                      <a:ext cx="4679950" cy="2994025"/>
                    </a:xfrm>
                    <a:prstGeom prst="rect">
                      <a:avLst/>
                    </a:prstGeom>
                  </pic:spPr>
                </pic:pic>
              </a:graphicData>
            </a:graphic>
          </wp:inline>
        </w:drawing>
      </w:r>
    </w:p>
    <w:p w14:paraId="4CA8A8C6">
      <w:pPr>
        <w:pStyle w:val="3"/>
        <w:keepNext w:val="0"/>
        <w:keepLines w:val="0"/>
        <w:pageBreakBefore w:val="0"/>
        <w:widowControl w:val="0"/>
        <w:kinsoku/>
        <w:wordWrap/>
        <w:overflowPunct/>
        <w:topLinePunct w:val="0"/>
        <w:autoSpaceDE/>
        <w:autoSpaceDN/>
        <w:bidi w:val="0"/>
        <w:adjustRightInd/>
        <w:snapToGrid/>
        <w:spacing w:before="160" w:line="460" w:lineRule="exact"/>
        <w:ind w:right="266" w:firstLine="2848" w:firstLineChars="1100"/>
        <w:jc w:val="both"/>
        <w:textAlignment w:val="auto"/>
        <w:rPr>
          <w:rFonts w:hint="eastAsia" w:ascii="仿宋" w:hAnsi="仿宋" w:eastAsia="仿宋" w:cs="仿宋"/>
          <w:b/>
          <w:bCs/>
          <w:color w:val="000000" w:themeColor="text1"/>
          <w:spacing w:val="9"/>
          <w:sz w:val="24"/>
          <w:szCs w:val="24"/>
          <w:lang w:val="en-US" w:eastAsia="zh-CN"/>
          <w14:textFill>
            <w14:solidFill>
              <w14:schemeClr w14:val="tx1"/>
            </w14:solidFill>
          </w14:textFill>
        </w:rPr>
      </w:pPr>
      <w:r>
        <w:rPr>
          <w:rFonts w:hint="eastAsia" w:ascii="仿宋" w:hAnsi="仿宋" w:eastAsia="仿宋" w:cs="仿宋"/>
          <w:b/>
          <w:bCs/>
          <w:color w:val="000000" w:themeColor="text1"/>
          <w:spacing w:val="9"/>
          <w:sz w:val="24"/>
          <w:szCs w:val="24"/>
          <w:lang w:val="en-US" w:eastAsia="zh-CN"/>
          <w14:textFill>
            <w14:solidFill>
              <w14:schemeClr w14:val="tx1"/>
            </w14:solidFill>
          </w14:textFill>
        </w:rPr>
        <w:t>图1-8  推拿按摩员人才技能培训</w:t>
      </w:r>
    </w:p>
    <w:p w14:paraId="4DC55838">
      <w:pPr>
        <w:pStyle w:val="3"/>
        <w:keepNext w:val="0"/>
        <w:keepLines w:val="0"/>
        <w:pageBreakBefore w:val="0"/>
        <w:widowControl w:val="0"/>
        <w:kinsoku/>
        <w:wordWrap/>
        <w:overflowPunct/>
        <w:topLinePunct w:val="0"/>
        <w:autoSpaceDE/>
        <w:autoSpaceDN/>
        <w:bidi w:val="0"/>
        <w:adjustRightInd/>
        <w:snapToGrid/>
        <w:spacing w:before="160" w:line="460" w:lineRule="exact"/>
        <w:ind w:right="266" w:firstLine="480" w:firstLineChars="200"/>
        <w:jc w:val="both"/>
        <w:textAlignment w:val="auto"/>
        <w:rPr>
          <w:rFonts w:hint="eastAsia" w:ascii="仿宋" w:hAnsi="仿宋" w:eastAsia="仿宋" w:cs="仿宋"/>
          <w:b/>
          <w:bCs/>
          <w:color w:val="000000" w:themeColor="text1"/>
          <w:spacing w:val="9"/>
          <w:sz w:val="24"/>
          <w:szCs w:val="24"/>
          <w:lang w:val="en-US" w:eastAsia="zh-CN"/>
          <w14:textFill>
            <w14:solidFill>
              <w14:schemeClr w14:val="tx1"/>
            </w14:solidFill>
          </w14:textFill>
        </w:rPr>
      </w:pPr>
      <w:r>
        <w:rPr>
          <w:rFonts w:hint="default" w:ascii="仿宋" w:hAnsi="仿宋" w:eastAsia="仿宋" w:cs="仿宋"/>
          <w:color w:val="000000" w:themeColor="text1"/>
          <w:kern w:val="0"/>
          <w:sz w:val="24"/>
          <w:szCs w:val="24"/>
          <w:lang w:val="en-US" w:eastAsia="zh-CN" w:bidi="ar"/>
          <w14:textFill>
            <w14:solidFill>
              <w14:schemeClr w14:val="tx1"/>
            </w14:solidFill>
          </w14:textFill>
        </w:rPr>
        <w:t>一系列举措为相关领域输送大批高素质技能人才，筑牢畜牧业安全防线，拓宽群众就业创业路径。其创新培育模式实现培训与产业、就业的精准耦合，为区域高质量发展注入强劲人才动能。</w:t>
      </w:r>
    </w:p>
    <w:p w14:paraId="390E6E8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40" w:lineRule="exact"/>
        <w:ind w:left="0" w:right="0" w:rightChars="0" w:firstLine="562" w:firstLineChars="200"/>
        <w:jc w:val="both"/>
        <w:textAlignment w:val="baseline"/>
        <w:rPr>
          <w:rFonts w:hint="eastAsia" w:ascii="黑体" w:hAnsi="黑体" w:eastAsia="黑体" w:cs="黑体"/>
          <w:b/>
          <w:bCs w:val="0"/>
          <w:color w:val="000000" w:themeColor="text1"/>
          <w:sz w:val="28"/>
          <w:szCs w:val="28"/>
          <w:lang w:val="en-US" w:eastAsia="zh-CN"/>
          <w14:textFill>
            <w14:solidFill>
              <w14:schemeClr w14:val="tx1"/>
            </w14:solidFill>
          </w14:textFill>
        </w:rPr>
      </w:pPr>
      <w:r>
        <w:rPr>
          <w:rFonts w:hint="eastAsia" w:ascii="黑体" w:hAnsi="黑体" w:eastAsia="黑体" w:cs="黑体"/>
          <w:b/>
          <w:bCs w:val="0"/>
          <w:color w:val="000000" w:themeColor="text1"/>
          <w:sz w:val="28"/>
          <w:szCs w:val="28"/>
          <w:lang w:val="en-US" w:eastAsia="zh-CN"/>
          <w14:textFill>
            <w14:solidFill>
              <w14:schemeClr w14:val="tx1"/>
            </w14:solidFill>
          </w14:textFill>
        </w:rPr>
        <w:t>2.服务贡献</w:t>
      </w:r>
    </w:p>
    <w:p w14:paraId="580643A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40" w:lineRule="exact"/>
        <w:ind w:left="0" w:right="0" w:rightChars="0" w:firstLine="480" w:firstLineChars="200"/>
        <w:jc w:val="both"/>
        <w:textAlignment w:val="baseline"/>
        <w:rPr>
          <w:rFonts w:hint="eastAsia" w:ascii="宋体" w:hAnsi="宋体" w:eastAsia="宋体" w:cs="宋体"/>
          <w:b w:val="0"/>
          <w:bCs/>
          <w:color w:val="auto"/>
          <w:sz w:val="24"/>
          <w:szCs w:val="24"/>
          <w:lang w:val="en-US" w:eastAsia="zh-CN"/>
        </w:rPr>
      </w:pPr>
      <w:r>
        <w:rPr>
          <w:rFonts w:hint="eastAsia" w:ascii="宋体" w:hAnsi="宋体" w:eastAsia="宋体" w:cs="宋体"/>
          <w:b w:val="0"/>
          <w:bCs/>
          <w:color w:val="000000" w:themeColor="text1"/>
          <w:sz w:val="24"/>
          <w:szCs w:val="24"/>
          <w:lang w:val="en-US" w:eastAsia="zh-CN"/>
          <w14:textFill>
            <w14:solidFill>
              <w14:schemeClr w14:val="tx1"/>
            </w14:solidFill>
          </w14:textFill>
        </w:rPr>
        <w:t>学校紧密对接区域发展，深度服务产业需求。通过调整专业设置与课程体系，精准培养适配自治区重大项目及地方重点行业的高素质技术技能人才；大力开展技能培训与认定，年培训超4300人次，为乡村振兴、社区及企业输送大量实用人才；并深化产教融合，引名企入校共建实训基地</w:t>
      </w:r>
      <w:r>
        <w:rPr>
          <w:rFonts w:hint="eastAsia" w:ascii="宋体" w:hAnsi="宋体" w:eastAsia="宋体" w:cs="宋体"/>
          <w:b w:val="0"/>
          <w:bCs/>
          <w:color w:val="auto"/>
          <w:sz w:val="24"/>
          <w:szCs w:val="24"/>
          <w:lang w:val="en-US" w:eastAsia="zh-CN"/>
        </w:rPr>
        <w:t>，形成了</w:t>
      </w:r>
      <w:r>
        <w:rPr>
          <w:rFonts w:hint="eastAsia" w:ascii="宋体" w:hAnsi="宋体" w:eastAsia="宋体" w:cs="宋体"/>
          <w:color w:val="auto"/>
          <w:sz w:val="24"/>
          <w:szCs w:val="24"/>
        </w:rPr>
        <w:t>教学</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实习</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科研</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生产经营</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社会服务</w:t>
      </w:r>
      <w:r>
        <w:rPr>
          <w:rFonts w:hint="eastAsia" w:ascii="宋体" w:hAnsi="宋体" w:eastAsia="宋体" w:cs="宋体"/>
          <w:b w:val="0"/>
          <w:bCs/>
          <w:color w:val="auto"/>
          <w:sz w:val="24"/>
          <w:szCs w:val="24"/>
          <w:lang w:val="en-US" w:eastAsia="zh-CN"/>
        </w:rPr>
        <w:t>“五位一体”的办学模式，切实贡献职教力量。</w:t>
      </w:r>
    </w:p>
    <w:p w14:paraId="64A63616">
      <w:pPr>
        <w:keepNext w:val="0"/>
        <w:keepLines w:val="0"/>
        <w:pageBreakBefore w:val="0"/>
        <w:widowControl w:val="0"/>
        <w:kinsoku/>
        <w:wordWrap/>
        <w:overflowPunct/>
        <w:topLinePunct w:val="0"/>
        <w:autoSpaceDE/>
        <w:autoSpaceDN/>
        <w:bidi w:val="0"/>
        <w:adjustRightInd/>
        <w:snapToGrid/>
        <w:spacing w:before="0" w:after="0"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2.1</w:t>
      </w:r>
      <w:r>
        <w:rPr>
          <w:rFonts w:hint="eastAsia" w:ascii="黑体" w:hAnsi="黑体" w:eastAsia="黑体" w:cs="黑体"/>
          <w:b/>
          <w:bCs/>
          <w:color w:val="000000" w:themeColor="text1"/>
          <w:sz w:val="28"/>
          <w:szCs w:val="28"/>
          <w:lang w:val="en-US" w:eastAsia="zh-CN"/>
          <w14:textFill>
            <w14:solidFill>
              <w14:schemeClr w14:val="tx1"/>
            </w14:solidFill>
          </w14:textFill>
        </w:rPr>
        <w:t>服务自治区重大项目</w:t>
      </w:r>
    </w:p>
    <w:p w14:paraId="332ACF27">
      <w:pPr>
        <w:keepNext w:val="0"/>
        <w:keepLines w:val="0"/>
        <w:pageBreakBefore w:val="0"/>
        <w:widowControl/>
        <w:numPr>
          <w:ilvl w:val="0"/>
          <w:numId w:val="0"/>
        </w:numPr>
        <w:kinsoku w:val="0"/>
        <w:wordWrap/>
        <w:overflowPunct/>
        <w:topLinePunct w:val="0"/>
        <w:autoSpaceDE w:val="0"/>
        <w:autoSpaceDN w:val="0"/>
        <w:bidi w:val="0"/>
        <w:adjustRightInd w:val="0"/>
        <w:snapToGrid w:val="0"/>
        <w:spacing w:line="440" w:lineRule="exact"/>
        <w:ind w:left="0" w:right="0" w:rightChars="0" w:firstLine="480" w:firstLineChars="200"/>
        <w:jc w:val="both"/>
        <w:textAlignment w:val="baseline"/>
        <w:rPr>
          <w:rFonts w:hint="eastAsia" w:ascii="宋体" w:hAnsi="宋体" w:eastAsia="宋体" w:cs="宋体"/>
          <w:b/>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学校</w:t>
      </w:r>
      <w:r>
        <w:rPr>
          <w:rFonts w:hint="eastAsia" w:ascii="宋体" w:hAnsi="宋体" w:eastAsia="宋体" w:cs="宋体"/>
          <w:color w:val="000000" w:themeColor="text1"/>
          <w:spacing w:val="4"/>
          <w:sz w:val="24"/>
          <w:szCs w:val="24"/>
          <w14:textFill>
            <w14:solidFill>
              <w14:schemeClr w14:val="tx1"/>
            </w14:solidFill>
          </w14:textFill>
        </w:rPr>
        <w:t>坚持“以</w:t>
      </w:r>
      <w:r>
        <w:rPr>
          <w:rFonts w:hint="eastAsia" w:ascii="宋体" w:hAnsi="宋体" w:eastAsia="宋体" w:cs="宋体"/>
          <w:color w:val="000000" w:themeColor="text1"/>
          <w:spacing w:val="2"/>
          <w:sz w:val="24"/>
          <w:szCs w:val="24"/>
          <w14:textFill>
            <w14:solidFill>
              <w14:schemeClr w14:val="tx1"/>
            </w14:solidFill>
          </w14:textFill>
        </w:rPr>
        <w:t>服务为宗旨，以就业为导向，以能</w:t>
      </w:r>
      <w:r>
        <w:rPr>
          <w:rFonts w:hint="eastAsia" w:ascii="宋体" w:hAnsi="宋体" w:eastAsia="宋体" w:cs="宋体"/>
          <w:color w:val="000000" w:themeColor="text1"/>
          <w:spacing w:val="22"/>
          <w:sz w:val="24"/>
          <w:szCs w:val="24"/>
          <w14:textFill>
            <w14:solidFill>
              <w14:schemeClr w14:val="tx1"/>
            </w14:solidFill>
          </w14:textFill>
        </w:rPr>
        <w:t>力</w:t>
      </w:r>
      <w:r>
        <w:rPr>
          <w:rFonts w:hint="eastAsia" w:ascii="宋体" w:hAnsi="宋体" w:eastAsia="宋体" w:cs="宋体"/>
          <w:color w:val="000000" w:themeColor="text1"/>
          <w:spacing w:val="15"/>
          <w:sz w:val="24"/>
          <w:szCs w:val="24"/>
          <w14:textFill>
            <w14:solidFill>
              <w14:schemeClr w14:val="tx1"/>
            </w14:solidFill>
          </w14:textFill>
        </w:rPr>
        <w:t>为本位”的办学方针，紧紧围绕“提升职业教育质量</w:t>
      </w:r>
      <w:r>
        <w:rPr>
          <w:rFonts w:hint="eastAsia" w:ascii="宋体" w:hAnsi="宋体" w:eastAsia="宋体" w:cs="宋体"/>
          <w:color w:val="000000" w:themeColor="text1"/>
          <w:spacing w:val="15"/>
          <w:sz w:val="24"/>
          <w:szCs w:val="24"/>
          <w:lang w:eastAsia="zh-CN"/>
          <w14:textFill>
            <w14:solidFill>
              <w14:schemeClr w14:val="tx1"/>
            </w14:solidFill>
          </w14:textFill>
        </w:rPr>
        <w:t>”</w:t>
      </w:r>
      <w:r>
        <w:rPr>
          <w:rFonts w:hint="eastAsia" w:ascii="宋体" w:hAnsi="宋体" w:eastAsia="宋体" w:cs="宋体"/>
          <w:color w:val="000000" w:themeColor="text1"/>
          <w:spacing w:val="20"/>
          <w:sz w:val="24"/>
          <w:szCs w:val="24"/>
          <w14:textFill>
            <w14:solidFill>
              <w14:schemeClr w14:val="tx1"/>
            </w14:solidFill>
          </w14:textFill>
        </w:rPr>
        <w:t>和</w:t>
      </w:r>
      <w:r>
        <w:rPr>
          <w:rFonts w:hint="eastAsia" w:ascii="宋体" w:hAnsi="宋体" w:eastAsia="宋体" w:cs="宋体"/>
          <w:color w:val="000000" w:themeColor="text1"/>
          <w:spacing w:val="12"/>
          <w:sz w:val="24"/>
          <w:szCs w:val="24"/>
          <w14:textFill>
            <w14:solidFill>
              <w14:schemeClr w14:val="tx1"/>
            </w14:solidFill>
          </w14:textFill>
        </w:rPr>
        <w:t>“</w:t>
      </w:r>
      <w:r>
        <w:rPr>
          <w:rFonts w:hint="eastAsia" w:ascii="宋体" w:hAnsi="宋体" w:eastAsia="宋体" w:cs="宋体"/>
          <w:color w:val="000000" w:themeColor="text1"/>
          <w:spacing w:val="10"/>
          <w:sz w:val="24"/>
          <w:szCs w:val="24"/>
          <w14:textFill>
            <w14:solidFill>
              <w14:schemeClr w14:val="tx1"/>
            </w14:solidFill>
          </w14:textFill>
        </w:rPr>
        <w:t>增强社会服务能力”两条工作主线，不断深化改革，</w:t>
      </w:r>
      <w:r>
        <w:rPr>
          <w:rFonts w:hint="eastAsia" w:ascii="宋体" w:hAnsi="宋体" w:eastAsia="宋体" w:cs="宋体"/>
          <w:color w:val="000000" w:themeColor="text1"/>
          <w:spacing w:val="11"/>
          <w:sz w:val="24"/>
          <w:szCs w:val="24"/>
          <w14:textFill>
            <w14:solidFill>
              <w14:schemeClr w14:val="tx1"/>
            </w14:solidFill>
          </w14:textFill>
        </w:rPr>
        <w:t>努</w:t>
      </w:r>
      <w:r>
        <w:rPr>
          <w:rFonts w:hint="eastAsia" w:ascii="宋体" w:hAnsi="宋体" w:eastAsia="宋体" w:cs="宋体"/>
          <w:color w:val="000000" w:themeColor="text1"/>
          <w:spacing w:val="9"/>
          <w:sz w:val="24"/>
          <w:szCs w:val="24"/>
          <w14:textFill>
            <w14:solidFill>
              <w14:schemeClr w14:val="tx1"/>
            </w14:solidFill>
          </w14:textFill>
        </w:rPr>
        <w:t>力提升办学质量和水平，使学校发展为规模较大、社会</w:t>
      </w:r>
      <w:r>
        <w:rPr>
          <w:rFonts w:hint="eastAsia" w:ascii="宋体" w:hAnsi="宋体" w:eastAsia="宋体" w:cs="宋体"/>
          <w:color w:val="000000" w:themeColor="text1"/>
          <w:spacing w:val="10"/>
          <w:sz w:val="24"/>
          <w:szCs w:val="24"/>
          <w14:textFill>
            <w14:solidFill>
              <w14:schemeClr w14:val="tx1"/>
            </w14:solidFill>
          </w14:textFill>
        </w:rPr>
        <w:t>影</w:t>
      </w:r>
      <w:r>
        <w:rPr>
          <w:rFonts w:hint="eastAsia" w:ascii="宋体" w:hAnsi="宋体" w:eastAsia="宋体" w:cs="宋体"/>
          <w:color w:val="000000" w:themeColor="text1"/>
          <w:spacing w:val="7"/>
          <w:sz w:val="24"/>
          <w:szCs w:val="24"/>
          <w14:textFill>
            <w14:solidFill>
              <w14:schemeClr w14:val="tx1"/>
            </w14:solidFill>
          </w14:textFill>
        </w:rPr>
        <w:t>响较好的一所职业学校。根据</w:t>
      </w:r>
      <w:r>
        <w:rPr>
          <w:rFonts w:hint="eastAsia" w:ascii="宋体" w:hAnsi="宋体" w:eastAsia="宋体" w:cs="宋体"/>
          <w:color w:val="000000" w:themeColor="text1"/>
          <w:spacing w:val="7"/>
          <w:sz w:val="24"/>
          <w:szCs w:val="24"/>
          <w:lang w:val="en-US" w:eastAsia="zh-CN"/>
          <w14:textFill>
            <w14:solidFill>
              <w14:schemeClr w14:val="tx1"/>
            </w14:solidFill>
          </w14:textFill>
        </w:rPr>
        <w:t>自治区</w:t>
      </w:r>
      <w:r>
        <w:rPr>
          <w:rFonts w:hint="eastAsia" w:ascii="宋体" w:hAnsi="宋体" w:eastAsia="宋体" w:cs="宋体"/>
          <w:color w:val="000000" w:themeColor="text1"/>
          <w:spacing w:val="7"/>
          <w:sz w:val="24"/>
          <w:szCs w:val="24"/>
          <w14:textFill>
            <w14:solidFill>
              <w14:schemeClr w14:val="tx1"/>
            </w14:solidFill>
          </w14:textFill>
        </w:rPr>
        <w:t>五大任务的需求，调整专业设置和课程安排，培养具备相关技能和知识的人才，为任务的完成提供人才保障</w:t>
      </w:r>
      <w:r>
        <w:rPr>
          <w:rFonts w:hint="eastAsia" w:ascii="宋体" w:hAnsi="宋体" w:eastAsia="宋体" w:cs="宋体"/>
          <w:color w:val="000000" w:themeColor="text1"/>
          <w:spacing w:val="7"/>
          <w:sz w:val="24"/>
          <w:szCs w:val="24"/>
          <w:lang w:eastAsia="zh-CN"/>
          <w14:textFill>
            <w14:solidFill>
              <w14:schemeClr w14:val="tx1"/>
            </w14:solidFill>
          </w14:textFill>
        </w:rPr>
        <w:t>；</w:t>
      </w:r>
      <w:r>
        <w:rPr>
          <w:rFonts w:hint="eastAsia" w:ascii="宋体" w:hAnsi="宋体" w:eastAsia="宋体" w:cs="宋体"/>
          <w:color w:val="000000" w:themeColor="text1"/>
          <w:spacing w:val="7"/>
          <w:sz w:val="24"/>
          <w:szCs w:val="24"/>
          <w14:textFill>
            <w14:solidFill>
              <w14:schemeClr w14:val="tx1"/>
            </w14:solidFill>
          </w14:textFill>
        </w:rPr>
        <w:t>鼓励教师和学生针对五大任务进行科研活动，探索解决方案，推动科技创新和成果转化</w:t>
      </w:r>
      <w:r>
        <w:rPr>
          <w:rFonts w:hint="eastAsia" w:ascii="宋体" w:hAnsi="宋体" w:eastAsia="宋体" w:cs="宋体"/>
          <w:color w:val="000000" w:themeColor="text1"/>
          <w:spacing w:val="7"/>
          <w:sz w:val="24"/>
          <w:szCs w:val="24"/>
          <w:lang w:eastAsia="zh-CN"/>
          <w14:textFill>
            <w14:solidFill>
              <w14:schemeClr w14:val="tx1"/>
            </w14:solidFill>
          </w14:textFill>
        </w:rPr>
        <w:t>；</w:t>
      </w:r>
      <w:r>
        <w:rPr>
          <w:rFonts w:hint="eastAsia" w:ascii="宋体" w:hAnsi="宋体" w:eastAsia="宋体" w:cs="宋体"/>
          <w:color w:val="000000" w:themeColor="text1"/>
          <w:spacing w:val="7"/>
          <w:sz w:val="24"/>
          <w:szCs w:val="24"/>
          <w14:textFill>
            <w14:solidFill>
              <w14:schemeClr w14:val="tx1"/>
            </w14:solidFill>
          </w14:textFill>
        </w:rPr>
        <w:t>利用学校的资源和优势，为五大任务的实施提供社会服务，如技术咨询、培训服务等</w:t>
      </w:r>
      <w:r>
        <w:rPr>
          <w:rFonts w:hint="eastAsia" w:ascii="宋体" w:hAnsi="宋体" w:eastAsia="宋体" w:cs="宋体"/>
          <w:color w:val="000000" w:themeColor="text1"/>
          <w:spacing w:val="7"/>
          <w:sz w:val="24"/>
          <w:szCs w:val="24"/>
          <w:lang w:eastAsia="zh-CN"/>
          <w14:textFill>
            <w14:solidFill>
              <w14:schemeClr w14:val="tx1"/>
            </w14:solidFill>
          </w14:textFill>
        </w:rPr>
        <w:t>；</w:t>
      </w:r>
      <w:r>
        <w:rPr>
          <w:rFonts w:hint="eastAsia" w:ascii="宋体" w:hAnsi="宋体" w:eastAsia="宋体" w:cs="宋体"/>
          <w:color w:val="000000" w:themeColor="text1"/>
          <w:spacing w:val="7"/>
          <w:sz w:val="24"/>
          <w:szCs w:val="24"/>
          <w14:textFill>
            <w14:solidFill>
              <w14:schemeClr w14:val="tx1"/>
            </w14:solidFill>
          </w14:textFill>
        </w:rPr>
        <w:t>结合五大任务，开展文化活动，传承和弘扬地区优秀传统文化，增强文化自信</w:t>
      </w:r>
      <w:r>
        <w:rPr>
          <w:rFonts w:hint="eastAsia" w:ascii="宋体" w:hAnsi="宋体" w:eastAsia="宋体" w:cs="宋体"/>
          <w:color w:val="000000" w:themeColor="text1"/>
          <w:spacing w:val="7"/>
          <w:sz w:val="24"/>
          <w:szCs w:val="24"/>
          <w:lang w:eastAsia="zh-CN"/>
          <w14:textFill>
            <w14:solidFill>
              <w14:schemeClr w14:val="tx1"/>
            </w14:solidFill>
          </w14:textFill>
        </w:rPr>
        <w:t>；</w:t>
      </w:r>
      <w:r>
        <w:rPr>
          <w:rFonts w:hint="eastAsia" w:ascii="宋体" w:hAnsi="宋体" w:eastAsia="宋体" w:cs="宋体"/>
          <w:color w:val="000000" w:themeColor="text1"/>
          <w:spacing w:val="7"/>
          <w:sz w:val="24"/>
          <w:szCs w:val="24"/>
          <w14:textFill>
            <w14:solidFill>
              <w14:schemeClr w14:val="tx1"/>
            </w14:solidFill>
          </w14:textFill>
        </w:rPr>
        <w:t>加强与国际社会的交流与合作，引进先进的理念和资源，提升五大任务的国际影响力。</w:t>
      </w:r>
      <w:r>
        <w:rPr>
          <w:rFonts w:hint="eastAsia" w:ascii="宋体" w:hAnsi="宋体" w:eastAsia="宋体" w:cs="宋体"/>
          <w:color w:val="000000" w:themeColor="text1"/>
          <w:spacing w:val="7"/>
          <w:sz w:val="24"/>
          <w:szCs w:val="24"/>
          <w:lang w:val="en-US" w:eastAsia="zh-CN"/>
          <w14:textFill>
            <w14:solidFill>
              <w14:schemeClr w14:val="tx1"/>
            </w14:solidFill>
          </w14:textFill>
        </w:rPr>
        <w:t>并大力</w:t>
      </w:r>
      <w:r>
        <w:rPr>
          <w:rFonts w:hint="eastAsia" w:ascii="宋体" w:hAnsi="宋体" w:eastAsia="宋体" w:cs="宋体"/>
          <w:color w:val="000000" w:themeColor="text1"/>
          <w:spacing w:val="7"/>
          <w:sz w:val="24"/>
          <w:szCs w:val="24"/>
          <w14:textFill>
            <w14:solidFill>
              <w14:schemeClr w14:val="tx1"/>
            </w14:solidFill>
          </w14:textFill>
        </w:rPr>
        <w:t>推进中职强基计划，推进不同层次职业教育纵向贯通</w:t>
      </w:r>
      <w:r>
        <w:rPr>
          <w:rFonts w:hint="eastAsia" w:ascii="宋体" w:hAnsi="宋体" w:eastAsia="宋体" w:cs="宋体"/>
          <w:color w:val="000000" w:themeColor="text1"/>
          <w:spacing w:val="7"/>
          <w:sz w:val="24"/>
          <w:szCs w:val="24"/>
          <w:lang w:eastAsia="zh-CN"/>
          <w14:textFill>
            <w14:solidFill>
              <w14:schemeClr w14:val="tx1"/>
            </w14:solidFill>
          </w14:textFill>
        </w:rPr>
        <w:t>，</w:t>
      </w:r>
      <w:r>
        <w:rPr>
          <w:rFonts w:hint="eastAsia" w:ascii="宋体" w:hAnsi="宋体" w:eastAsia="宋体" w:cs="宋体"/>
          <w:color w:val="000000" w:themeColor="text1"/>
          <w:spacing w:val="7"/>
          <w:sz w:val="24"/>
          <w:szCs w:val="24"/>
          <w14:textFill>
            <w14:solidFill>
              <w14:schemeClr w14:val="tx1"/>
            </w14:solidFill>
          </w14:textFill>
        </w:rPr>
        <w:t>促进不同类型教育横向融通，</w:t>
      </w:r>
      <w:r>
        <w:rPr>
          <w:rFonts w:hint="eastAsia" w:ascii="宋体" w:hAnsi="宋体" w:eastAsia="宋体" w:cs="宋体"/>
          <w:color w:val="000000" w:themeColor="text1"/>
          <w:spacing w:val="4"/>
          <w:sz w:val="24"/>
          <w:szCs w:val="24"/>
          <w14:textFill>
            <w14:solidFill>
              <w14:schemeClr w14:val="tx1"/>
            </w14:solidFill>
          </w14:textFill>
        </w:rPr>
        <w:t>在做好</w:t>
      </w:r>
      <w:r>
        <w:rPr>
          <w:rFonts w:hint="eastAsia" w:ascii="宋体" w:hAnsi="宋体" w:eastAsia="宋体" w:cs="宋体"/>
          <w:color w:val="000000" w:themeColor="text1"/>
          <w:spacing w:val="1"/>
          <w:sz w:val="24"/>
          <w:szCs w:val="24"/>
          <w14:textFill>
            <w14:solidFill>
              <w14:schemeClr w14:val="tx1"/>
            </w14:solidFill>
          </w14:textFill>
        </w:rPr>
        <w:t>学</w:t>
      </w:r>
      <w:r>
        <w:rPr>
          <w:rFonts w:hint="eastAsia" w:ascii="宋体" w:hAnsi="宋体" w:eastAsia="宋体" w:cs="宋体"/>
          <w:color w:val="000000" w:themeColor="text1"/>
          <w:spacing w:val="16"/>
          <w:sz w:val="24"/>
          <w:szCs w:val="24"/>
          <w14:textFill>
            <w14:solidFill>
              <w14:schemeClr w14:val="tx1"/>
            </w14:solidFill>
          </w14:textFill>
        </w:rPr>
        <w:t>历</w:t>
      </w:r>
      <w:r>
        <w:rPr>
          <w:rFonts w:hint="eastAsia" w:ascii="宋体" w:hAnsi="宋体" w:eastAsia="宋体" w:cs="宋体"/>
          <w:color w:val="000000" w:themeColor="text1"/>
          <w:spacing w:val="10"/>
          <w:sz w:val="24"/>
          <w:szCs w:val="24"/>
          <w14:textFill>
            <w14:solidFill>
              <w14:schemeClr w14:val="tx1"/>
            </w14:solidFill>
          </w14:textFill>
        </w:rPr>
        <w:t>教育的同时，针对行业、企业的需求，增加实训基地建</w:t>
      </w:r>
      <w:r>
        <w:rPr>
          <w:rFonts w:hint="eastAsia" w:ascii="宋体" w:hAnsi="宋体" w:eastAsia="宋体" w:cs="宋体"/>
          <w:color w:val="000000" w:themeColor="text1"/>
          <w:spacing w:val="16"/>
          <w:sz w:val="24"/>
          <w:szCs w:val="24"/>
          <w14:textFill>
            <w14:solidFill>
              <w14:schemeClr w14:val="tx1"/>
            </w14:solidFill>
          </w14:textFill>
        </w:rPr>
        <w:t>设</w:t>
      </w:r>
      <w:r>
        <w:rPr>
          <w:rFonts w:hint="eastAsia" w:ascii="宋体" w:hAnsi="宋体" w:eastAsia="宋体" w:cs="宋体"/>
          <w:color w:val="000000" w:themeColor="text1"/>
          <w:spacing w:val="10"/>
          <w:sz w:val="24"/>
          <w:szCs w:val="24"/>
          <w14:textFill>
            <w14:solidFill>
              <w14:schemeClr w14:val="tx1"/>
            </w14:solidFill>
          </w14:textFill>
        </w:rPr>
        <w:t>的投入，加大中高级技能人才培训的力度，年培训规模</w:t>
      </w:r>
      <w:r>
        <w:rPr>
          <w:rFonts w:hint="eastAsia" w:ascii="宋体" w:hAnsi="宋体" w:eastAsia="宋体" w:cs="宋体"/>
          <w:color w:val="000000" w:themeColor="text1"/>
          <w:spacing w:val="4"/>
          <w:sz w:val="24"/>
          <w:szCs w:val="24"/>
          <w14:textFill>
            <w14:solidFill>
              <w14:schemeClr w14:val="tx1"/>
            </w14:solidFill>
          </w14:textFill>
        </w:rPr>
        <w:t>达</w:t>
      </w:r>
      <w:r>
        <w:rPr>
          <w:rFonts w:hint="eastAsia" w:ascii="宋体" w:hAnsi="宋体" w:cs="宋体"/>
          <w:color w:val="000000" w:themeColor="text1"/>
          <w:spacing w:val="4"/>
          <w:sz w:val="24"/>
          <w:szCs w:val="24"/>
          <w:lang w:val="en-US" w:eastAsia="zh-CN"/>
          <w14:textFill>
            <w14:solidFill>
              <w14:schemeClr w14:val="tx1"/>
            </w14:solidFill>
          </w14:textFill>
        </w:rPr>
        <w:t>43</w:t>
      </w:r>
      <w:r>
        <w:rPr>
          <w:rFonts w:hint="eastAsia" w:ascii="宋体" w:hAnsi="宋体" w:eastAsia="宋体" w:cs="宋体"/>
          <w:color w:val="000000" w:themeColor="text1"/>
          <w:spacing w:val="4"/>
          <w:sz w:val="24"/>
          <w:szCs w:val="24"/>
          <w14:textFill>
            <w14:solidFill>
              <w14:schemeClr w14:val="tx1"/>
            </w14:solidFill>
          </w14:textFill>
        </w:rPr>
        <w:t>00人次以上，其中，高技能人才培训人数逐年增长，</w:t>
      </w:r>
      <w:r>
        <w:rPr>
          <w:rFonts w:hint="eastAsia" w:ascii="宋体" w:hAnsi="宋体" w:eastAsia="宋体" w:cs="宋体"/>
          <w:color w:val="000000" w:themeColor="text1"/>
          <w:spacing w:val="10"/>
          <w:sz w:val="24"/>
          <w:szCs w:val="24"/>
          <w14:textFill>
            <w14:solidFill>
              <w14:schemeClr w14:val="tx1"/>
            </w14:solidFill>
          </w14:textFill>
        </w:rPr>
        <w:t>在本地区培训能力名列前茅</w:t>
      </w:r>
      <w:r>
        <w:rPr>
          <w:rFonts w:hint="eastAsia" w:ascii="宋体" w:hAnsi="宋体" w:eastAsia="宋体" w:cs="宋体"/>
          <w:color w:val="000000" w:themeColor="text1"/>
          <w:spacing w:val="7"/>
          <w:sz w:val="24"/>
          <w:szCs w:val="24"/>
          <w14:textFill>
            <w14:solidFill>
              <w14:schemeClr w14:val="tx1"/>
            </w14:solidFill>
          </w14:textFill>
        </w:rPr>
        <w:t>。</w:t>
      </w:r>
      <w:r>
        <w:rPr>
          <w:rFonts w:hint="eastAsia" w:ascii="宋体" w:hAnsi="宋体" w:eastAsia="宋体" w:cs="宋体"/>
          <w:color w:val="000000" w:themeColor="text1"/>
          <w:spacing w:val="7"/>
          <w:sz w:val="24"/>
          <w:szCs w:val="24"/>
          <w:lang w:val="en-US" w:eastAsia="zh-CN"/>
          <w14:textFill>
            <w14:solidFill>
              <w14:schemeClr w14:val="tx1"/>
            </w14:solidFill>
          </w14:textFill>
        </w:rPr>
        <w:t>为</w:t>
      </w:r>
      <w:r>
        <w:rPr>
          <w:rFonts w:hint="eastAsia" w:ascii="宋体" w:hAnsi="宋体" w:eastAsia="宋体" w:cs="宋体"/>
          <w:color w:val="000000" w:themeColor="text1"/>
          <w:spacing w:val="7"/>
          <w:sz w:val="24"/>
          <w:szCs w:val="24"/>
          <w14:textFill>
            <w14:solidFill>
              <w14:schemeClr w14:val="tx1"/>
            </w14:solidFill>
          </w14:textFill>
        </w:rPr>
        <w:t>推动</w:t>
      </w:r>
      <w:r>
        <w:rPr>
          <w:rFonts w:hint="eastAsia" w:ascii="宋体" w:hAnsi="宋体" w:eastAsia="宋体" w:cs="宋体"/>
          <w:color w:val="000000" w:themeColor="text1"/>
          <w:spacing w:val="7"/>
          <w:sz w:val="24"/>
          <w:szCs w:val="24"/>
          <w:lang w:val="en-US" w:eastAsia="zh-CN"/>
          <w14:textFill>
            <w14:solidFill>
              <w14:schemeClr w14:val="tx1"/>
            </w14:solidFill>
          </w14:textFill>
        </w:rPr>
        <w:t>地方</w:t>
      </w:r>
      <w:r>
        <w:rPr>
          <w:rFonts w:hint="eastAsia" w:ascii="宋体" w:hAnsi="宋体" w:eastAsia="宋体" w:cs="宋体"/>
          <w:color w:val="000000" w:themeColor="text1"/>
          <w:spacing w:val="7"/>
          <w:sz w:val="24"/>
          <w:szCs w:val="24"/>
          <w14:textFill>
            <w14:solidFill>
              <w14:schemeClr w14:val="tx1"/>
            </w14:solidFill>
          </w14:textFill>
        </w:rPr>
        <w:t>经济社会发展进程</w:t>
      </w:r>
      <w:r>
        <w:rPr>
          <w:rFonts w:hint="eastAsia" w:ascii="宋体" w:hAnsi="宋体" w:eastAsia="宋体" w:cs="宋体"/>
          <w:color w:val="000000" w:themeColor="text1"/>
          <w:spacing w:val="7"/>
          <w:sz w:val="24"/>
          <w:szCs w:val="24"/>
          <w:lang w:eastAsia="zh-CN"/>
          <w14:textFill>
            <w14:solidFill>
              <w14:schemeClr w14:val="tx1"/>
            </w14:solidFill>
          </w14:textFill>
        </w:rPr>
        <w:t>，</w:t>
      </w:r>
      <w:r>
        <w:rPr>
          <w:rFonts w:hint="eastAsia" w:ascii="宋体" w:hAnsi="宋体" w:eastAsia="宋体" w:cs="宋体"/>
          <w:color w:val="000000" w:themeColor="text1"/>
          <w:spacing w:val="7"/>
          <w:sz w:val="24"/>
          <w:szCs w:val="24"/>
          <w:lang w:val="en-US" w:eastAsia="zh-CN"/>
          <w14:textFill>
            <w14:solidFill>
              <w14:schemeClr w14:val="tx1"/>
            </w14:solidFill>
          </w14:textFill>
        </w:rPr>
        <w:t>贡献职教智慧和力量。</w:t>
      </w:r>
    </w:p>
    <w:p w14:paraId="58169C72">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 xml:space="preserve">2.2 </w:t>
      </w:r>
      <w:r>
        <w:rPr>
          <w:rFonts w:hint="eastAsia" w:ascii="黑体" w:hAnsi="黑体" w:eastAsia="黑体" w:cs="黑体"/>
          <w:b/>
          <w:bCs/>
          <w:color w:val="000000" w:themeColor="text1"/>
          <w:sz w:val="28"/>
          <w:szCs w:val="28"/>
          <w:lang w:val="en-US" w:eastAsia="zh-CN"/>
          <w14:textFill>
            <w14:solidFill>
              <w14:schemeClr w14:val="tx1"/>
            </w14:solidFill>
          </w14:textFill>
        </w:rPr>
        <w:t>服务行业企业</w:t>
      </w:r>
    </w:p>
    <w:p w14:paraId="45D13753">
      <w:pPr>
        <w:keepNext w:val="0"/>
        <w:keepLines w:val="0"/>
        <w:pageBreakBefore w:val="0"/>
        <w:widowControl w:val="0"/>
        <w:numPr>
          <w:ilvl w:val="0"/>
          <w:numId w:val="0"/>
        </w:numPr>
        <w:kinsoku/>
        <w:wordWrap/>
        <w:overflowPunct/>
        <w:topLinePunct w:val="0"/>
        <w:autoSpaceDE/>
        <w:autoSpaceDN/>
        <w:bidi w:val="0"/>
        <w:spacing w:line="440" w:lineRule="exact"/>
        <w:ind w:firstLine="432" w:firstLineChars="200"/>
        <w:jc w:val="both"/>
        <w:textAlignment w:val="auto"/>
        <w:rPr>
          <w:rFonts w:hint="eastAsia" w:ascii="宋体" w:hAnsi="宋体" w:eastAsia="宋体" w:cs="宋体"/>
          <w:b/>
          <w:color w:val="auto"/>
          <w:spacing w:val="-12"/>
          <w:sz w:val="24"/>
          <w:szCs w:val="24"/>
        </w:rPr>
      </w:pPr>
      <w:r>
        <w:rPr>
          <w:rFonts w:hint="eastAsia" w:ascii="宋体" w:hAnsi="宋体" w:eastAsia="宋体" w:cs="宋体"/>
          <w:color w:val="000000" w:themeColor="text1"/>
          <w:spacing w:val="-12"/>
          <w:sz w:val="24"/>
          <w:szCs w:val="24"/>
          <w:lang w:val="en-US" w:eastAsia="zh-CN"/>
          <w14:textFill>
            <w14:solidFill>
              <w14:schemeClr w14:val="tx1"/>
            </w14:solidFill>
          </w14:textFill>
        </w:rPr>
        <w:t>学校</w:t>
      </w:r>
      <w:r>
        <w:rPr>
          <w:rFonts w:hint="eastAsia" w:ascii="宋体" w:hAnsi="宋体" w:eastAsia="宋体" w:cs="宋体"/>
          <w:color w:val="000000" w:themeColor="text1"/>
          <w:kern w:val="0"/>
          <w:sz w:val="24"/>
          <w:szCs w:val="24"/>
          <w14:textFill>
            <w14:solidFill>
              <w14:schemeClr w14:val="tx1"/>
            </w14:solidFill>
          </w14:textFill>
        </w:rPr>
        <w:t>大力推进办学机制创新，</w:t>
      </w:r>
      <w:r>
        <w:rPr>
          <w:rFonts w:hint="eastAsia" w:ascii="宋体" w:hAnsi="宋体" w:eastAsia="宋体" w:cs="宋体"/>
          <w:color w:val="000000" w:themeColor="text1"/>
          <w:sz w:val="24"/>
          <w:szCs w:val="24"/>
          <w14:textFill>
            <w14:solidFill>
              <w14:schemeClr w14:val="tx1"/>
            </w14:solidFill>
          </w14:textFill>
        </w:rPr>
        <w:t>认真贯彻“知行合一、产教融合、工学结合、校企合作”的人才培养模式，不断创新校企合作方式，深化合作内容，形成了学校、行业、企业共同合作的多元化办学模式，在探索工学结合的人才培养模式上，迈出了富有成效的步伐。学校多方努力，引名企入校，与哈尔滨第一工具厂、内蒙古第一机械集团以及当地最大的拓乐汽修厂开展了生产经营性的校企合作，建起了哈尔滨第一工具厂数控刀具生产车间、内蒙古第一机械集团军品加工制造车间、汽修实训基地等，共同开展数控加工专业、汽车维修专业的专业建设、课程开发、教师培养、学生实习就业等工作，将教室、实训室、生产车间有机地融合在一起，使学生入校即入厂，实现了课程内容与职业标准对接、教学过程与工作过程对接，形</w:t>
      </w:r>
      <w:r>
        <w:rPr>
          <w:rFonts w:hint="eastAsia" w:ascii="宋体" w:hAnsi="宋体" w:eastAsia="宋体" w:cs="宋体"/>
          <w:color w:val="auto"/>
          <w:sz w:val="24"/>
          <w:szCs w:val="24"/>
        </w:rPr>
        <w:t>成了教学</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实习</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科研</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生产经营</w:t>
      </w: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社会服务</w:t>
      </w:r>
      <w:r>
        <w:rPr>
          <w:rFonts w:hint="eastAsia" w:ascii="宋体" w:hAnsi="宋体" w:eastAsia="宋体" w:cs="宋体"/>
          <w:b w:val="0"/>
          <w:bCs/>
          <w:color w:val="auto"/>
          <w:sz w:val="24"/>
          <w:szCs w:val="24"/>
          <w:lang w:val="en-US" w:eastAsia="zh-CN"/>
        </w:rPr>
        <w:t>“五位一体”</w:t>
      </w:r>
      <w:r>
        <w:rPr>
          <w:rFonts w:hint="eastAsia" w:ascii="宋体" w:hAnsi="宋体" w:eastAsia="宋体" w:cs="宋体"/>
          <w:color w:val="auto"/>
          <w:sz w:val="24"/>
          <w:szCs w:val="24"/>
        </w:rPr>
        <w:t>的办学模式。</w:t>
      </w:r>
    </w:p>
    <w:p w14:paraId="676FA08C">
      <w:pPr>
        <w:keepNext w:val="0"/>
        <w:keepLines w:val="0"/>
        <w:pageBreakBefore w:val="0"/>
        <w:widowControl w:val="0"/>
        <w:kinsoku/>
        <w:wordWrap/>
        <w:overflowPunct/>
        <w:topLinePunct w:val="0"/>
        <w:autoSpaceDE/>
        <w:autoSpaceDN/>
        <w:bidi w:val="0"/>
        <w:adjustRightInd w:val="0"/>
        <w:snapToGrid w:val="0"/>
        <w:spacing w:line="440" w:lineRule="exact"/>
        <w:ind w:firstLine="640"/>
        <w:jc w:val="both"/>
        <w:textAlignment w:val="auto"/>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pP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学校202</w:t>
      </w:r>
      <w:r>
        <w:rPr>
          <w:rFonts w:hint="eastAsia" w:ascii="宋体" w:hAnsi="宋体" w:cs="宋体"/>
          <w:i w:val="0"/>
          <w:iCs w:val="0"/>
          <w:caps w:val="0"/>
          <w:color w:val="000000" w:themeColor="text1"/>
          <w:spacing w:val="0"/>
          <w:sz w:val="24"/>
          <w:szCs w:val="24"/>
          <w:shd w:val="clear" w:color="auto" w:fill="FFFFFF"/>
          <w:lang w:val="en-US" w:eastAsia="zh-CN"/>
          <w14:textFill>
            <w14:solidFill>
              <w14:schemeClr w14:val="tx1"/>
            </w14:solidFill>
          </w14:textFill>
        </w:rPr>
        <w:t>5</w:t>
      </w: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届毕业生就业量较大的职业类为</w:t>
      </w:r>
      <w:r>
        <w:rPr>
          <w:rFonts w:hint="eastAsia" w:ascii="宋体" w:hAnsi="宋体" w:eastAsia="宋体" w:cs="宋体"/>
          <w:i w:val="0"/>
          <w:iCs w:val="0"/>
          <w:caps w:val="0"/>
          <w:color w:val="000000" w:themeColor="text1"/>
          <w:spacing w:val="0"/>
          <w:sz w:val="24"/>
          <w:szCs w:val="24"/>
          <w:shd w:val="clear" w:color="auto" w:fill="FFFFFF"/>
          <w:lang w:val="en-US" w:eastAsia="zh-CN"/>
          <w14:textFill>
            <w14:solidFill>
              <w14:schemeClr w14:val="tx1"/>
            </w14:solidFill>
          </w14:textFill>
        </w:rPr>
        <w:t>医药卫生类</w:t>
      </w: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，其后依次是</w:t>
      </w:r>
      <w:r>
        <w:rPr>
          <w:rFonts w:hint="eastAsia" w:ascii="宋体" w:hAnsi="宋体" w:eastAsia="宋体" w:cs="宋体"/>
          <w:i w:val="0"/>
          <w:iCs w:val="0"/>
          <w:caps w:val="0"/>
          <w:color w:val="000000" w:themeColor="text1"/>
          <w:spacing w:val="0"/>
          <w:sz w:val="24"/>
          <w:szCs w:val="24"/>
          <w:shd w:val="clear" w:color="auto" w:fill="FFFFFF"/>
          <w:lang w:val="en-US" w:eastAsia="zh-CN"/>
          <w14:textFill>
            <w14:solidFill>
              <w14:schemeClr w14:val="tx1"/>
            </w14:solidFill>
          </w14:textFill>
        </w:rPr>
        <w:t>信息技术类</w:t>
      </w: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w:t>
      </w:r>
      <w:r>
        <w:rPr>
          <w:rFonts w:hint="eastAsia" w:ascii="宋体" w:hAnsi="宋体" w:eastAsia="宋体" w:cs="宋体"/>
          <w:i w:val="0"/>
          <w:iCs w:val="0"/>
          <w:caps w:val="0"/>
          <w:color w:val="000000" w:themeColor="text1"/>
          <w:spacing w:val="0"/>
          <w:sz w:val="24"/>
          <w:szCs w:val="24"/>
          <w:shd w:val="clear" w:color="auto" w:fill="FFFFFF"/>
          <w:lang w:val="en-US" w:eastAsia="zh-CN"/>
          <w14:textFill>
            <w14:solidFill>
              <w14:schemeClr w14:val="tx1"/>
            </w14:solidFill>
          </w14:textFill>
        </w:rPr>
        <w:t>财经商贸类、加工制造类</w:t>
      </w: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等。主要行业的人才贡献</w:t>
      </w:r>
      <w:r>
        <w:rPr>
          <w:rFonts w:hint="eastAsia" w:ascii="宋体" w:hAnsi="宋体" w:eastAsia="宋体" w:cs="宋体"/>
          <w:i w:val="0"/>
          <w:iCs w:val="0"/>
          <w:caps w:val="0"/>
          <w:color w:val="000000" w:themeColor="text1"/>
          <w:spacing w:val="0"/>
          <w:sz w:val="24"/>
          <w:szCs w:val="24"/>
          <w:shd w:val="clear" w:color="auto" w:fill="FFFFFF"/>
          <w:lang w:eastAsia="zh-CN"/>
          <w14:textFill>
            <w14:solidFill>
              <w14:schemeClr w14:val="tx1"/>
            </w14:solidFill>
          </w14:textFill>
        </w:rPr>
        <w:t>：</w:t>
      </w: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学校202</w:t>
      </w:r>
      <w:r>
        <w:rPr>
          <w:rFonts w:hint="eastAsia" w:ascii="宋体" w:hAnsi="宋体" w:cs="宋体"/>
          <w:i w:val="0"/>
          <w:iCs w:val="0"/>
          <w:caps w:val="0"/>
          <w:color w:val="000000" w:themeColor="text1"/>
          <w:spacing w:val="0"/>
          <w:sz w:val="24"/>
          <w:szCs w:val="24"/>
          <w:shd w:val="clear" w:color="auto" w:fill="FFFFFF"/>
          <w:lang w:val="en-US" w:eastAsia="zh-CN"/>
          <w14:textFill>
            <w14:solidFill>
              <w14:schemeClr w14:val="tx1"/>
            </w14:solidFill>
          </w14:textFill>
        </w:rPr>
        <w:t>5</w:t>
      </w: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届毕业生主要服务于农、林、牧、渔业，同时在医药及设备制造业、医疗和社会护理服务业、政府及公共管理等行业也有人才贡献。对不同类型企业的人才贡献</w:t>
      </w:r>
      <w:r>
        <w:rPr>
          <w:rFonts w:hint="eastAsia" w:ascii="宋体" w:hAnsi="宋体" w:eastAsia="宋体" w:cs="宋体"/>
          <w:i w:val="0"/>
          <w:iCs w:val="0"/>
          <w:caps w:val="0"/>
          <w:color w:val="000000" w:themeColor="text1"/>
          <w:spacing w:val="0"/>
          <w:sz w:val="24"/>
          <w:szCs w:val="24"/>
          <w:shd w:val="clear" w:color="auto" w:fill="FFFFFF"/>
          <w:lang w:eastAsia="zh-CN"/>
          <w14:textFill>
            <w14:solidFill>
              <w14:schemeClr w14:val="tx1"/>
            </w14:solidFill>
          </w14:textFill>
        </w:rPr>
        <w:t>：</w:t>
      </w: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学校202</w:t>
      </w:r>
      <w:r>
        <w:rPr>
          <w:rFonts w:hint="eastAsia" w:ascii="宋体" w:hAnsi="宋体" w:cs="宋体"/>
          <w:i w:val="0"/>
          <w:iCs w:val="0"/>
          <w:caps w:val="0"/>
          <w:color w:val="000000" w:themeColor="text1"/>
          <w:spacing w:val="0"/>
          <w:sz w:val="24"/>
          <w:szCs w:val="24"/>
          <w:shd w:val="clear" w:color="auto" w:fill="FFFFFF"/>
          <w:lang w:val="en-US" w:eastAsia="zh-CN"/>
          <w14:textFill>
            <w14:solidFill>
              <w14:schemeClr w14:val="tx1"/>
            </w14:solidFill>
          </w14:textFill>
        </w:rPr>
        <w:t>5</w:t>
      </w: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届毕业生主要就业的用人单位类型为民营企业</w:t>
      </w:r>
      <w:r>
        <w:rPr>
          <w:rFonts w:hint="eastAsia" w:ascii="宋体" w:hAnsi="宋体" w:eastAsia="宋体" w:cs="宋体"/>
          <w:i w:val="0"/>
          <w:iCs w:val="0"/>
          <w:caps w:val="0"/>
          <w:color w:val="000000" w:themeColor="text1"/>
          <w:spacing w:val="0"/>
          <w:sz w:val="24"/>
          <w:szCs w:val="24"/>
          <w:shd w:val="clear" w:color="auto" w:fill="FFFFFF"/>
          <w:lang w:eastAsia="zh-CN"/>
          <w14:textFill>
            <w14:solidFill>
              <w14:schemeClr w14:val="tx1"/>
            </w14:solidFill>
          </w14:textFill>
        </w:rPr>
        <w:t>、</w:t>
      </w:r>
      <w:r>
        <w:rPr>
          <w:rFonts w:hint="eastAsia" w:ascii="宋体" w:hAnsi="宋体" w:eastAsia="宋体" w:cs="宋体"/>
          <w:i w:val="0"/>
          <w:iCs w:val="0"/>
          <w:caps w:val="0"/>
          <w:color w:val="000000" w:themeColor="text1"/>
          <w:spacing w:val="0"/>
          <w:sz w:val="24"/>
          <w:szCs w:val="24"/>
          <w:shd w:val="clear" w:color="auto" w:fill="FFFFFF"/>
          <w14:textFill>
            <w14:solidFill>
              <w14:schemeClr w14:val="tx1"/>
            </w14:solidFill>
          </w14:textFill>
        </w:rPr>
        <w:t>个体。</w:t>
      </w:r>
    </w:p>
    <w:p w14:paraId="5CD9E265">
      <w:pPr>
        <w:keepNext w:val="0"/>
        <w:keepLines w:val="0"/>
        <w:pageBreakBefore w:val="0"/>
        <w:wordWrap/>
        <w:overflowPunct/>
        <w:topLinePunct w:val="0"/>
        <w:bidi w:val="0"/>
        <w:spacing w:line="440" w:lineRule="exact"/>
        <w:ind w:firstLine="562" w:firstLineChars="200"/>
        <w:jc w:val="both"/>
        <w:rPr>
          <w:rFonts w:hint="eastAsia" w:ascii="黑体" w:hAnsi="黑体" w:eastAsia="黑体" w:cs="黑体"/>
          <w:b/>
          <w:bCs/>
          <w:color w:val="000000" w:themeColor="text1"/>
          <w:sz w:val="28"/>
          <w:szCs w:val="28"/>
          <w:lang w:val="en-US" w:eastAsia="zh-CN"/>
          <w14:textFill>
            <w14:solidFill>
              <w14:schemeClr w14:val="tx1"/>
            </w14:solidFill>
          </w14:textFill>
        </w:rPr>
      </w:pPr>
      <w:bookmarkStart w:id="0" w:name="_Hlk524190168"/>
      <w:r>
        <w:rPr>
          <w:rFonts w:hint="eastAsia" w:ascii="黑体" w:hAnsi="黑体" w:eastAsia="黑体" w:cs="黑体"/>
          <w:b/>
          <w:bCs/>
          <w:color w:val="000000" w:themeColor="text1"/>
          <w:sz w:val="28"/>
          <w:szCs w:val="28"/>
          <w14:textFill>
            <w14:solidFill>
              <w14:schemeClr w14:val="tx1"/>
            </w14:solidFill>
          </w14:textFill>
        </w:rPr>
        <w:t>2.3</w:t>
      </w:r>
      <w:r>
        <w:rPr>
          <w:rFonts w:hint="eastAsia" w:ascii="黑体" w:hAnsi="黑体" w:eastAsia="黑体" w:cs="黑体"/>
          <w:b/>
          <w:bCs/>
          <w:color w:val="000000" w:themeColor="text1"/>
          <w:sz w:val="28"/>
          <w:szCs w:val="28"/>
          <w:lang w:val="en-US" w:eastAsia="zh-CN"/>
          <w14:textFill>
            <w14:solidFill>
              <w14:schemeClr w14:val="tx1"/>
            </w14:solidFill>
          </w14:textFill>
        </w:rPr>
        <w:t>服务乡村振兴</w:t>
      </w:r>
    </w:p>
    <w:p w14:paraId="7A9B88AB">
      <w:pPr>
        <w:keepNext w:val="0"/>
        <w:keepLines w:val="0"/>
        <w:pageBreakBefore w:val="0"/>
        <w:widowControl/>
        <w:kinsoku/>
        <w:wordWrap/>
        <w:overflowPunct/>
        <w:topLinePunct w:val="0"/>
        <w:autoSpaceDE/>
        <w:autoSpaceDN/>
        <w:bidi w:val="0"/>
        <w:adjustRightInd w:val="0"/>
        <w:snapToGrid w:val="0"/>
        <w:spacing w:line="440" w:lineRule="exact"/>
        <w:ind w:left="0" w:leftChars="0" w:firstLine="480" w:firstLineChars="200"/>
        <w:jc w:val="left"/>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学校</w:t>
      </w:r>
      <w:bookmarkEnd w:id="0"/>
      <w:r>
        <w:rPr>
          <w:rFonts w:hint="eastAsia" w:ascii="宋体" w:hAnsi="宋体" w:eastAsia="宋体" w:cs="宋体"/>
          <w:color w:val="000000" w:themeColor="text1"/>
          <w:sz w:val="24"/>
          <w:szCs w:val="24"/>
          <w14:textFill>
            <w14:solidFill>
              <w14:schemeClr w14:val="tx1"/>
            </w14:solidFill>
          </w14:textFill>
        </w:rPr>
        <w:t>以“加快建设、狠抓质量、争创培训品牌”为指导思想，以全市一流的实训条件积极开展各类培训和技能</w:t>
      </w:r>
      <w:r>
        <w:rPr>
          <w:rFonts w:hint="eastAsia" w:ascii="宋体" w:hAnsi="宋体" w:eastAsia="宋体" w:cs="宋体"/>
          <w:color w:val="000000" w:themeColor="text1"/>
          <w:sz w:val="24"/>
          <w:szCs w:val="24"/>
          <w:lang w:val="en-US" w:eastAsia="zh-CN"/>
          <w14:textFill>
            <w14:solidFill>
              <w14:schemeClr w14:val="tx1"/>
            </w14:solidFill>
          </w14:textFill>
        </w:rPr>
        <w:t>认</w:t>
      </w:r>
      <w:r>
        <w:rPr>
          <w:rFonts w:hint="eastAsia" w:ascii="宋体" w:hAnsi="宋体" w:eastAsia="宋体" w:cs="宋体"/>
          <w:color w:val="000000" w:themeColor="text1"/>
          <w:sz w:val="24"/>
          <w:szCs w:val="24"/>
          <w14:textFill>
            <w14:solidFill>
              <w14:schemeClr w14:val="tx1"/>
            </w14:solidFill>
          </w14:textFill>
        </w:rPr>
        <w:t>定，不断提升培训质量，打造培训品牌。</w:t>
      </w:r>
      <w:r>
        <w:rPr>
          <w:rFonts w:hint="eastAsia" w:ascii="宋体" w:hAnsi="宋体" w:eastAsia="宋体" w:cs="宋体"/>
          <w:bCs/>
          <w:color w:val="000000" w:themeColor="text1"/>
          <w:sz w:val="24"/>
          <w:szCs w:val="24"/>
          <w14:textFill>
            <w14:solidFill>
              <w14:schemeClr w14:val="tx1"/>
            </w14:solidFill>
          </w14:textFill>
        </w:rPr>
        <w:t>一是加大宣传，把“农民学技术，政府给补助”的优惠政策和学校的优质培训传播到千家万户，吸引更多的农牧民学习受益。</w:t>
      </w:r>
      <w:r>
        <w:rPr>
          <w:rFonts w:hint="eastAsia" w:ascii="宋体" w:hAnsi="宋体" w:eastAsia="宋体" w:cs="宋体"/>
          <w:color w:val="000000" w:themeColor="text1"/>
          <w:sz w:val="24"/>
          <w:szCs w:val="24"/>
          <w14:textFill>
            <w14:solidFill>
              <w14:schemeClr w14:val="tx1"/>
            </w14:solidFill>
          </w14:textFill>
        </w:rPr>
        <w:t>20</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14:textFill>
            <w14:solidFill>
              <w14:schemeClr w14:val="tx1"/>
            </w14:solidFill>
          </w14:textFill>
        </w:rPr>
        <w:t>年</w:t>
      </w:r>
      <w:r>
        <w:rPr>
          <w:rFonts w:hint="eastAsia" w:ascii="宋体" w:hAnsi="宋体" w:eastAsia="宋体" w:cs="宋体"/>
          <w:color w:val="000000" w:themeColor="text1"/>
          <w:sz w:val="24"/>
          <w:szCs w:val="24"/>
          <w:shd w:val="clear" w:color="auto" w:fill="FFFFFF"/>
          <w14:textFill>
            <w14:solidFill>
              <w14:schemeClr w14:val="tx1"/>
            </w14:solidFill>
          </w14:textFill>
        </w:rPr>
        <w:t>大力开展技能培训，</w:t>
      </w:r>
      <w:r>
        <w:rPr>
          <w:rFonts w:hint="eastAsia" w:ascii="宋体" w:hAnsi="宋体" w:eastAsia="宋体" w:cs="宋体"/>
          <w:color w:val="000000" w:themeColor="text1"/>
          <w:sz w:val="24"/>
          <w:szCs w:val="24"/>
          <w:shd w:val="clear" w:color="auto" w:fill="FFFFFF"/>
          <w:lang w:val="en-US" w:eastAsia="zh-CN"/>
          <w14:textFill>
            <w14:solidFill>
              <w14:schemeClr w14:val="tx1"/>
            </w14:solidFill>
          </w14:textFill>
        </w:rPr>
        <w:t>充分利用免费培训政策，组织失业人员开展技能培训，</w:t>
      </w:r>
      <w:r>
        <w:rPr>
          <w:rFonts w:hint="eastAsia" w:ascii="宋体" w:hAnsi="宋体" w:eastAsia="宋体" w:cs="宋体"/>
          <w:color w:val="000000" w:themeColor="text1"/>
          <w:sz w:val="24"/>
          <w:szCs w:val="24"/>
          <w:lang w:val="en-US" w:eastAsia="zh-CN"/>
          <w14:textFill>
            <w14:solidFill>
              <w14:schemeClr w14:val="tx1"/>
            </w14:solidFill>
          </w14:textFill>
        </w:rPr>
        <w:t>目前开设的培训班期蛮会镇脱贫劳动力苜蓿草种植专项培训60人；</w:t>
      </w:r>
      <w:r>
        <w:rPr>
          <w:rFonts w:hint="eastAsia" w:ascii="宋体" w:hAnsi="宋体" w:eastAsia="宋体" w:cs="宋体"/>
          <w:b w:val="0"/>
          <w:bCs w:val="0"/>
          <w:color w:val="000000" w:themeColor="text1"/>
          <w:position w:val="6"/>
          <w:sz w:val="24"/>
          <w:szCs w:val="24"/>
          <w:lang w:val="en-US" w:eastAsia="zh-CN" w:bidi="ar-SA"/>
          <w14:textFill>
            <w14:solidFill>
              <w14:schemeClr w14:val="tx1"/>
            </w14:solidFill>
          </w14:textFill>
        </w:rPr>
        <w:t>动物防疫员技能培训21人；推拿按摩培训23人；面包烘焙专项两期共64人；化妆师专项24人；手工编织专项43人；开展普通话培训745人；助力退役军人提升职业技能培训15人；提前与旗农牧业对接，开展2025年高素质农民培训20人；联合妇联、社区开展母婴护理、保育员培训，促进农村妇女就业率提升30%。脱贫劳动力、推拿按摩、面包烘焙、化妆、面包烘焙、五个班期，工匠学院新质生产力培训1100人，这些培训项目的开展，不仅提升了学员的专业技能，也为社会输送了大量实用型人才，得到了社会各界的广泛认可。2025年国开大学共招生140人，在招生形势极为严峻的形势下圆满</w:t>
      </w:r>
      <w:r>
        <w:rPr>
          <w:rFonts w:hint="eastAsia" w:ascii="宋体" w:hAnsi="宋体" w:eastAsia="宋体" w:cs="宋体"/>
          <w:color w:val="000000" w:themeColor="text1"/>
          <w:sz w:val="24"/>
          <w:szCs w:val="24"/>
          <w14:textFill>
            <w14:solidFill>
              <w14:schemeClr w14:val="tx1"/>
            </w14:solidFill>
          </w14:textFill>
        </w:rPr>
        <w:t>完成了招生任务。</w:t>
      </w:r>
      <w:r>
        <w:rPr>
          <w:rFonts w:hint="eastAsia" w:ascii="宋体" w:hAnsi="宋体" w:eastAsia="宋体" w:cs="宋体"/>
          <w:color w:val="000000" w:themeColor="text1"/>
          <w:sz w:val="24"/>
          <w:szCs w:val="24"/>
          <w:lang w:val="en-US" w:eastAsia="zh-CN"/>
          <w14:textFill>
            <w14:solidFill>
              <w14:schemeClr w14:val="tx1"/>
            </w14:solidFill>
          </w14:textFill>
        </w:rPr>
        <w:t>到目前为止，在籍学员327人</w:t>
      </w:r>
      <w:r>
        <w:rPr>
          <w:rFonts w:hint="eastAsia" w:ascii="宋体" w:hAnsi="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合计培训</w:t>
      </w:r>
      <w:r>
        <w:rPr>
          <w:rFonts w:hint="eastAsia" w:ascii="宋体" w:hAnsi="宋体" w:cs="宋体"/>
          <w:color w:val="000000" w:themeColor="text1"/>
          <w:sz w:val="24"/>
          <w:szCs w:val="24"/>
          <w:lang w:val="en-US" w:eastAsia="zh-CN"/>
          <w14:textFill>
            <w14:solidFill>
              <w14:schemeClr w14:val="tx1"/>
            </w14:solidFill>
          </w14:textFill>
        </w:rPr>
        <w:t>4</w:t>
      </w:r>
      <w:r>
        <w:rPr>
          <w:rFonts w:hint="eastAsia" w:ascii="宋体" w:hAnsi="宋体" w:eastAsia="宋体" w:cs="宋体"/>
          <w:color w:val="000000" w:themeColor="text1"/>
          <w:sz w:val="24"/>
          <w:szCs w:val="24"/>
          <w:lang w:val="en-US" w:eastAsia="zh-CN"/>
          <w14:textFill>
            <w14:solidFill>
              <w14:schemeClr w14:val="tx1"/>
            </w14:solidFill>
          </w14:textFill>
        </w:rPr>
        <w:t>353</w:t>
      </w:r>
      <w:r>
        <w:rPr>
          <w:rFonts w:hint="eastAsia" w:ascii="宋体" w:hAnsi="宋体" w:eastAsia="宋体" w:cs="宋体"/>
          <w:b w:val="0"/>
          <w:bCs w:val="0"/>
          <w:color w:val="000000" w:themeColor="text1"/>
          <w:sz w:val="24"/>
          <w:szCs w:val="24"/>
          <w:lang w:val="en-US" w:eastAsia="zh-CN"/>
          <w14:textFill>
            <w14:solidFill>
              <w14:schemeClr w14:val="tx1"/>
            </w14:solidFill>
          </w14:textFill>
        </w:rPr>
        <w:t>人</w:t>
      </w:r>
      <w:r>
        <w:rPr>
          <w:rFonts w:hint="eastAsia" w:ascii="宋体" w:hAnsi="宋体" w:eastAsia="宋体" w:cs="宋体"/>
          <w:b w:val="0"/>
          <w:bCs w:val="0"/>
          <w:color w:val="000000" w:themeColor="text1"/>
          <w:sz w:val="24"/>
          <w:szCs w:val="24"/>
          <w:shd w:val="clear" w:color="auto" w:fill="FFFFFF"/>
          <w:lang w:val="en-US" w:eastAsia="zh-CN"/>
          <w14:textFill>
            <w14:solidFill>
              <w14:schemeClr w14:val="tx1"/>
            </w14:solidFill>
          </w14:textFill>
        </w:rPr>
        <w:t>。2025年</w:t>
      </w:r>
      <w:r>
        <w:rPr>
          <w:rFonts w:hint="eastAsia" w:ascii="宋体" w:hAnsi="宋体" w:eastAsia="宋体" w:cs="宋体"/>
          <w:color w:val="000000" w:themeColor="text1"/>
          <w:sz w:val="24"/>
          <w:szCs w:val="24"/>
          <w:lang w:val="en-US" w:eastAsia="zh-CN"/>
          <w14:textFill>
            <w14:solidFill>
              <w14:schemeClr w14:val="tx1"/>
            </w14:solidFill>
          </w14:textFill>
        </w:rPr>
        <w:t>完成职业技能认定2050人次，学生职业技能认定1469人次，企业职工技能认定281人，社会人员认定300人，涉及工种有养老护理、保育员、面包烘焙、化妆师等，持续推动技能人才结构优化、质量提升。</w:t>
      </w:r>
      <w:r>
        <w:rPr>
          <w:rFonts w:hint="eastAsia" w:ascii="宋体" w:hAnsi="宋体" w:eastAsia="宋体" w:cs="宋体"/>
          <w:bCs/>
          <w:color w:val="000000" w:themeColor="text1"/>
          <w:sz w:val="24"/>
          <w:szCs w:val="24"/>
          <w14:textFill>
            <w14:solidFill>
              <w14:schemeClr w14:val="tx1"/>
            </w14:solidFill>
          </w14:textFill>
        </w:rPr>
        <w:t>二是</w:t>
      </w:r>
      <w:r>
        <w:rPr>
          <w:rFonts w:hint="eastAsia" w:ascii="宋体" w:hAnsi="宋体" w:eastAsia="宋体" w:cs="宋体"/>
          <w:color w:val="000000" w:themeColor="text1"/>
          <w:sz w:val="24"/>
          <w:szCs w:val="24"/>
          <w14:textFill>
            <w14:solidFill>
              <w14:schemeClr w14:val="tx1"/>
            </w14:solidFill>
          </w14:textFill>
        </w:rPr>
        <w:t>创新培训模式，加</w:t>
      </w:r>
      <w:r>
        <w:rPr>
          <w:rFonts w:hint="eastAsia" w:ascii="宋体" w:hAnsi="宋体" w:eastAsia="宋体" w:cs="宋体"/>
          <w:color w:val="000000" w:themeColor="text1"/>
          <w:sz w:val="24"/>
          <w:szCs w:val="24"/>
          <w:lang w:val="en-US" w:eastAsia="zh-CN"/>
          <w14:textFill>
            <w14:solidFill>
              <w14:schemeClr w14:val="tx1"/>
            </w14:solidFill>
          </w14:textFill>
        </w:rPr>
        <w:t>大企业新型学徒制</w:t>
      </w:r>
      <w:r>
        <w:rPr>
          <w:rFonts w:hint="eastAsia" w:ascii="宋体" w:hAnsi="宋体" w:eastAsia="宋体" w:cs="宋体"/>
          <w:color w:val="000000" w:themeColor="text1"/>
          <w:sz w:val="24"/>
          <w:szCs w:val="24"/>
          <w14:textFill>
            <w14:solidFill>
              <w14:schemeClr w14:val="tx1"/>
            </w14:solidFill>
          </w14:textFill>
        </w:rPr>
        <w:t>培训力度。</w:t>
      </w:r>
      <w:r>
        <w:rPr>
          <w:rFonts w:hint="eastAsia" w:ascii="宋体" w:hAnsi="宋体" w:eastAsia="宋体" w:cs="宋体"/>
          <w:color w:val="000000" w:themeColor="text1"/>
          <w:sz w:val="24"/>
          <w:szCs w:val="24"/>
          <w:lang w:val="en-US" w:eastAsia="zh-CN"/>
          <w14:textFill>
            <w14:solidFill>
              <w14:schemeClr w14:val="tx1"/>
            </w14:solidFill>
          </w14:textFill>
        </w:rPr>
        <w:t>推行“企</w:t>
      </w:r>
      <w:r>
        <w:rPr>
          <w:rFonts w:hint="eastAsia" w:ascii="宋体" w:hAnsi="宋体" w:eastAsia="宋体" w:cs="宋体"/>
          <w:b w:val="0"/>
          <w:bCs w:val="0"/>
          <w:color w:val="000000" w:themeColor="text1"/>
          <w:position w:val="6"/>
          <w:sz w:val="24"/>
          <w:szCs w:val="24"/>
          <w:lang w:val="en-US" w:eastAsia="zh-CN" w:bidi="ar-SA"/>
          <w14:textFill>
            <w14:solidFill>
              <w14:schemeClr w14:val="tx1"/>
            </w14:solidFill>
          </w14:textFill>
        </w:rPr>
        <w:t>校双师联合培养”模式，为伊利集团、河套酒业等知名企业培养技能人才395余人，助力企业生产效率提升20%以上。开展与企业无缝对接的技能培训，深受学员和企业的欢</w:t>
      </w:r>
      <w:r>
        <w:rPr>
          <w:rFonts w:hint="eastAsia" w:ascii="宋体" w:hAnsi="宋体" w:eastAsia="宋体" w:cs="宋体"/>
          <w:color w:val="000000" w:themeColor="text1"/>
          <w:sz w:val="24"/>
          <w:szCs w:val="24"/>
          <w:lang w:val="en-US" w:eastAsia="zh-CN"/>
          <w14:textFill>
            <w14:solidFill>
              <w14:schemeClr w14:val="tx1"/>
            </w14:solidFill>
          </w14:textFill>
        </w:rPr>
        <w:t>迎，并形成了良好的社会声誉和影响，逐步形成了培训的品牌效应，乡村振兴学院和农</w:t>
      </w:r>
      <w:r>
        <w:rPr>
          <w:rFonts w:hint="eastAsia" w:ascii="宋体" w:hAnsi="宋体" w:eastAsia="宋体" w:cs="宋体"/>
          <w:color w:val="000000" w:themeColor="text1"/>
          <w:sz w:val="24"/>
          <w:szCs w:val="24"/>
          <w14:textFill>
            <w14:solidFill>
              <w14:schemeClr w14:val="tx1"/>
            </w14:solidFill>
          </w14:textFill>
        </w:rPr>
        <w:t>牧民培训学</w:t>
      </w:r>
      <w:r>
        <w:rPr>
          <w:rFonts w:hint="eastAsia" w:ascii="宋体" w:hAnsi="宋体" w:eastAsia="宋体" w:cs="宋体"/>
          <w:color w:val="000000" w:themeColor="text1"/>
          <w:sz w:val="24"/>
          <w:szCs w:val="24"/>
          <w:lang w:val="en-US" w:eastAsia="zh-CN"/>
          <w14:textFill>
            <w14:solidFill>
              <w14:schemeClr w14:val="tx1"/>
            </w14:solidFill>
          </w14:textFill>
        </w:rPr>
        <w:t>校</w:t>
      </w:r>
      <w:r>
        <w:rPr>
          <w:rFonts w:hint="eastAsia" w:ascii="宋体" w:hAnsi="宋体" w:eastAsia="宋体" w:cs="宋体"/>
          <w:color w:val="000000" w:themeColor="text1"/>
          <w:sz w:val="24"/>
          <w:szCs w:val="24"/>
          <w14:textFill>
            <w14:solidFill>
              <w14:schemeClr w14:val="tx1"/>
            </w14:solidFill>
          </w14:textFill>
        </w:rPr>
        <w:t>运行</w:t>
      </w:r>
      <w:r>
        <w:rPr>
          <w:rFonts w:hint="eastAsia" w:ascii="宋体" w:hAnsi="宋体" w:eastAsia="宋体" w:cs="宋体"/>
          <w:color w:val="000000" w:themeColor="text1"/>
          <w:sz w:val="24"/>
          <w:szCs w:val="24"/>
          <w:lang w:val="en-US" w:eastAsia="zh-CN"/>
          <w14:textFill>
            <w14:solidFill>
              <w14:schemeClr w14:val="tx1"/>
            </w14:solidFill>
          </w14:textFill>
        </w:rPr>
        <w:t>规范，</w:t>
      </w:r>
      <w:r>
        <w:rPr>
          <w:rFonts w:hint="eastAsia" w:ascii="宋体" w:hAnsi="宋体" w:eastAsia="宋体" w:cs="宋体"/>
          <w:color w:val="000000" w:themeColor="text1"/>
          <w:kern w:val="0"/>
          <w:sz w:val="24"/>
          <w:szCs w:val="24"/>
          <w14:textFill>
            <w14:solidFill>
              <w14:schemeClr w14:val="tx1"/>
            </w14:solidFill>
          </w14:textFill>
        </w:rPr>
        <w:t>大大</w:t>
      </w:r>
      <w:r>
        <w:rPr>
          <w:rFonts w:hint="eastAsia" w:ascii="宋体" w:hAnsi="宋体" w:eastAsia="宋体" w:cs="宋体"/>
          <w:color w:val="000000" w:themeColor="text1"/>
          <w:sz w:val="24"/>
          <w:szCs w:val="24"/>
          <w14:textFill>
            <w14:solidFill>
              <w14:schemeClr w14:val="tx1"/>
            </w14:solidFill>
          </w14:textFill>
        </w:rPr>
        <w:t>促进了我旗职成教育的健康发展，为产业转型升级提供了技术技能型人才的支撑，促进了就业创业和脱贫增收致富，较好地服务了地方经济的发展。</w:t>
      </w:r>
    </w:p>
    <w:p w14:paraId="638F6B60">
      <w:pPr>
        <w:keepNext w:val="0"/>
        <w:keepLines w:val="0"/>
        <w:pageBreakBefore w:val="0"/>
        <w:wordWrap/>
        <w:overflowPunct/>
        <w:topLinePunct w:val="0"/>
        <w:bidi w:val="0"/>
        <w:spacing w:line="440" w:lineRule="exact"/>
        <w:ind w:firstLine="562" w:firstLineChars="200"/>
        <w:jc w:val="both"/>
        <w:rPr>
          <w:rFonts w:hint="eastAsia" w:ascii="黑体" w:hAnsi="黑体" w:eastAsia="黑体" w:cs="黑体"/>
          <w:b/>
          <w:bCs/>
          <w:color w:val="000000" w:themeColor="text1"/>
          <w:kern w:val="0"/>
          <w:sz w:val="28"/>
          <w:szCs w:val="28"/>
          <w:lang w:val="en-US" w:eastAsia="zh-CN"/>
          <w14:textFill>
            <w14:solidFill>
              <w14:schemeClr w14:val="tx1"/>
            </w14:solidFill>
          </w14:textFill>
        </w:rPr>
      </w:pPr>
      <w:r>
        <w:rPr>
          <w:rFonts w:hint="eastAsia" w:ascii="黑体" w:hAnsi="黑体" w:eastAsia="黑体" w:cs="黑体"/>
          <w:b/>
          <w:bCs/>
          <w:color w:val="000000" w:themeColor="text1"/>
          <w:kern w:val="0"/>
          <w:sz w:val="28"/>
          <w:szCs w:val="28"/>
          <w14:textFill>
            <w14:solidFill>
              <w14:schemeClr w14:val="tx1"/>
            </w14:solidFill>
          </w14:textFill>
        </w:rPr>
        <w:t xml:space="preserve">2.4 </w:t>
      </w:r>
      <w:r>
        <w:rPr>
          <w:rFonts w:hint="eastAsia" w:ascii="黑体" w:hAnsi="黑体" w:eastAsia="黑体" w:cs="黑体"/>
          <w:b/>
          <w:bCs/>
          <w:color w:val="000000" w:themeColor="text1"/>
          <w:kern w:val="0"/>
          <w:sz w:val="28"/>
          <w:szCs w:val="28"/>
          <w:lang w:val="en-US" w:eastAsia="zh-CN"/>
          <w14:textFill>
            <w14:solidFill>
              <w14:schemeClr w14:val="tx1"/>
            </w14:solidFill>
          </w14:textFill>
        </w:rPr>
        <w:t>服务社区教育</w:t>
      </w:r>
    </w:p>
    <w:p w14:paraId="6FE080C7">
      <w:pPr>
        <w:keepNext w:val="0"/>
        <w:keepLines w:val="0"/>
        <w:pageBreakBefore w:val="0"/>
        <w:wordWrap/>
        <w:overflowPunct/>
        <w:topLinePunct w:val="0"/>
        <w:bidi w:val="0"/>
        <w:spacing w:line="440" w:lineRule="exact"/>
        <w:ind w:firstLine="480" w:firstLineChars="200"/>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宋体" w:hAnsi="宋体" w:eastAsia="宋体" w:cs="宋体"/>
          <w:b w:val="0"/>
          <w:bCs/>
          <w:color w:val="000000" w:themeColor="text1"/>
          <w:sz w:val="24"/>
          <w:szCs w:val="24"/>
          <w:lang w:val="en-US" w:eastAsia="zh-CN"/>
          <w14:textFill>
            <w14:solidFill>
              <w14:schemeClr w14:val="tx1"/>
            </w14:solidFill>
          </w14:textFill>
        </w:rPr>
        <w:t>杭锦后旗职业教育中心是自治区第一批公布的老年教育社区教育教学试点学校，学校的智慧云学习平台被中国成人教育协会评选为2022年“终身学习品牌项目”。学校是国家级高技能人才培训基地、全国职工教育培训示范点。为了更好地开展社区教育和老年教育，我们从以下方面着手，服务全民终身学习。</w:t>
      </w:r>
    </w:p>
    <w:p w14:paraId="49B58401">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黑体" w:hAnsi="黑体" w:eastAsia="黑体" w:cs="黑体"/>
          <w:b/>
          <w:bCs w:val="0"/>
          <w:color w:val="000000" w:themeColor="text1"/>
          <w:sz w:val="24"/>
          <w:szCs w:val="24"/>
          <w:lang w:val="en-US" w:eastAsia="zh-CN"/>
          <w14:textFill>
            <w14:solidFill>
              <w14:schemeClr w14:val="tx1"/>
            </w14:solidFill>
          </w14:textFill>
        </w:rPr>
        <w:t>教学工作</w:t>
      </w:r>
      <w:r>
        <w:rPr>
          <w:rFonts w:hint="eastAsia" w:ascii="宋体" w:hAnsi="宋体" w:eastAsia="宋体" w:cs="宋体"/>
          <w:b w:val="0"/>
          <w:bCs/>
          <w:color w:val="000000" w:themeColor="text1"/>
          <w:sz w:val="24"/>
          <w:szCs w:val="24"/>
          <w:lang w:val="en-US" w:eastAsia="zh-CN"/>
          <w14:textFill>
            <w14:solidFill>
              <w14:schemeClr w14:val="tx1"/>
            </w14:solidFill>
          </w14:textFill>
        </w:rPr>
        <w:t>。总结老年学员、社区学员的实际需求，提供适应他们特点和兴趣的课程，包</w:t>
      </w:r>
      <w:r>
        <w:rPr>
          <w:rFonts w:hint="eastAsia" w:ascii="宋体" w:hAnsi="宋体" w:eastAsia="宋体" w:cs="宋体"/>
          <w:b w:val="0"/>
          <w:bCs/>
          <w:color w:val="auto"/>
          <w:sz w:val="24"/>
          <w:szCs w:val="24"/>
          <w:lang w:val="en-US" w:eastAsia="zh-CN"/>
        </w:rPr>
        <w:t>括职业培训、生活技</w:t>
      </w:r>
      <w:r>
        <w:rPr>
          <w:rFonts w:hint="eastAsia" w:ascii="宋体" w:hAnsi="宋体" w:eastAsia="宋体" w:cs="宋体"/>
          <w:b w:val="0"/>
          <w:bCs/>
          <w:color w:val="000000" w:themeColor="text1"/>
          <w:sz w:val="24"/>
          <w:szCs w:val="24"/>
          <w:lang w:val="en-US" w:eastAsia="zh-CN"/>
          <w14:textFill>
            <w14:solidFill>
              <w14:schemeClr w14:val="tx1"/>
            </w14:solidFill>
          </w14:textFill>
        </w:rPr>
        <w:t>能培训、文化艺术培训等。通过组织教学活动，提高老年学员的知识水平和技能，帮助他们更好地适应社会变革。</w:t>
      </w:r>
    </w:p>
    <w:p w14:paraId="0C74C3DA">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黑体" w:hAnsi="黑体" w:eastAsia="黑体" w:cs="黑体"/>
          <w:b/>
          <w:bCs w:val="0"/>
          <w:color w:val="000000" w:themeColor="text1"/>
          <w:sz w:val="24"/>
          <w:szCs w:val="24"/>
          <w:lang w:val="en-US" w:eastAsia="zh-CN"/>
          <w14:textFill>
            <w14:solidFill>
              <w14:schemeClr w14:val="tx1"/>
            </w14:solidFill>
          </w14:textFill>
        </w:rPr>
        <w:t>社区服务</w:t>
      </w:r>
      <w:r>
        <w:rPr>
          <w:rFonts w:hint="eastAsia" w:ascii="宋体" w:hAnsi="宋体" w:eastAsia="宋体" w:cs="宋体"/>
          <w:b w:val="0"/>
          <w:bCs/>
          <w:color w:val="000000" w:themeColor="text1"/>
          <w:sz w:val="24"/>
          <w:szCs w:val="24"/>
          <w:lang w:val="en-US" w:eastAsia="zh-CN"/>
          <w14:textFill>
            <w14:solidFill>
              <w14:schemeClr w14:val="tx1"/>
            </w14:solidFill>
          </w14:textFill>
        </w:rPr>
        <w:t>。通过与社区合作，开展社区教育和老年教育服务，提供社区居民所需的培训和服务。组织座谈会、讲座、活动等形式，宣传老年教育的重要性，促进老年人的学习和参与社区建设。</w:t>
      </w:r>
    </w:p>
    <w:p w14:paraId="19272279">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黑体" w:hAnsi="黑体" w:eastAsia="黑体" w:cs="黑体"/>
          <w:b/>
          <w:bCs w:val="0"/>
          <w:color w:val="000000" w:themeColor="text1"/>
          <w:sz w:val="24"/>
          <w:szCs w:val="24"/>
          <w:lang w:val="en-US" w:eastAsia="zh-CN"/>
          <w14:textFill>
            <w14:solidFill>
              <w14:schemeClr w14:val="tx1"/>
            </w14:solidFill>
          </w14:textFill>
        </w:rPr>
        <w:t>师资建设</w:t>
      </w:r>
      <w:r>
        <w:rPr>
          <w:rFonts w:hint="eastAsia" w:ascii="黑体" w:hAnsi="黑体" w:eastAsia="黑体" w:cs="黑体"/>
          <w:b w:val="0"/>
          <w:bCs/>
          <w:color w:val="000000" w:themeColor="text1"/>
          <w:sz w:val="24"/>
          <w:szCs w:val="24"/>
          <w:lang w:val="en-US" w:eastAsia="zh-CN"/>
          <w14:textFill>
            <w14:solidFill>
              <w14:schemeClr w14:val="tx1"/>
            </w14:solidFill>
          </w14:textFill>
        </w:rPr>
        <w:t>。</w:t>
      </w:r>
      <w:r>
        <w:rPr>
          <w:rFonts w:hint="eastAsia" w:ascii="宋体" w:hAnsi="宋体" w:eastAsia="宋体" w:cs="宋体"/>
          <w:b w:val="0"/>
          <w:bCs/>
          <w:color w:val="000000" w:themeColor="text1"/>
          <w:sz w:val="24"/>
          <w:szCs w:val="24"/>
          <w:lang w:val="en-US" w:eastAsia="zh-CN"/>
          <w14:textFill>
            <w14:solidFill>
              <w14:schemeClr w14:val="tx1"/>
            </w14:solidFill>
          </w14:textFill>
        </w:rPr>
        <w:t>培养和引进专业的老年教育师资队伍，提高他们的教学水平和专业素养。定期组织师德师风培训，提升教师对老年学员的关爱和服务意识。</w:t>
      </w:r>
    </w:p>
    <w:p w14:paraId="2CEC7F07">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黑体" w:hAnsi="黑体" w:eastAsia="黑体" w:cs="黑体"/>
          <w:b/>
          <w:bCs w:val="0"/>
          <w:color w:val="000000" w:themeColor="text1"/>
          <w:sz w:val="24"/>
          <w:szCs w:val="24"/>
          <w:lang w:val="en-US" w:eastAsia="zh-CN"/>
          <w14:textFill>
            <w14:solidFill>
              <w14:schemeClr w14:val="tx1"/>
            </w14:solidFill>
          </w14:textFill>
        </w:rPr>
        <w:t>教育设施建设</w:t>
      </w:r>
      <w:r>
        <w:rPr>
          <w:rFonts w:hint="eastAsia" w:ascii="宋体" w:hAnsi="宋体" w:eastAsia="宋体" w:cs="宋体"/>
          <w:b w:val="0"/>
          <w:bCs/>
          <w:color w:val="000000" w:themeColor="text1"/>
          <w:sz w:val="24"/>
          <w:szCs w:val="24"/>
          <w:lang w:val="en-US" w:eastAsia="zh-CN"/>
          <w14:textFill>
            <w14:solidFill>
              <w14:schemeClr w14:val="tx1"/>
            </w14:solidFill>
          </w14:textFill>
        </w:rPr>
        <w:t>。完善社区教育和老年教育的教学设施，包括教室、实验室、图书馆等。提供便捷的学习环境和场所，为老年学员提供良好的学习体验。</w:t>
      </w:r>
    </w:p>
    <w:p w14:paraId="67D51457">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黑体" w:hAnsi="黑体" w:eastAsia="黑体" w:cs="黑体"/>
          <w:b/>
          <w:bCs w:val="0"/>
          <w:color w:val="000000" w:themeColor="text1"/>
          <w:sz w:val="24"/>
          <w:szCs w:val="24"/>
          <w:lang w:val="en-US" w:eastAsia="zh-CN"/>
          <w14:textFill>
            <w14:solidFill>
              <w14:schemeClr w14:val="tx1"/>
            </w14:solidFill>
          </w14:textFill>
        </w:rPr>
        <w:t>教育管理</w:t>
      </w:r>
      <w:r>
        <w:rPr>
          <w:rFonts w:hint="eastAsia" w:ascii="黑体" w:hAnsi="黑体" w:eastAsia="黑体" w:cs="黑体"/>
          <w:b w:val="0"/>
          <w:bCs/>
          <w:color w:val="000000" w:themeColor="text1"/>
          <w:sz w:val="24"/>
          <w:szCs w:val="24"/>
          <w:lang w:val="en-US" w:eastAsia="zh-CN"/>
          <w14:textFill>
            <w14:solidFill>
              <w14:schemeClr w14:val="tx1"/>
            </w14:solidFill>
          </w14:textFill>
        </w:rPr>
        <w:t>。</w:t>
      </w:r>
      <w:r>
        <w:rPr>
          <w:rFonts w:hint="eastAsia" w:ascii="宋体" w:hAnsi="宋体" w:eastAsia="宋体" w:cs="宋体"/>
          <w:b w:val="0"/>
          <w:bCs/>
          <w:color w:val="000000" w:themeColor="text1"/>
          <w:sz w:val="24"/>
          <w:szCs w:val="24"/>
          <w:lang w:val="en-US" w:eastAsia="zh-CN"/>
          <w14:textFill>
            <w14:solidFill>
              <w14:schemeClr w14:val="tx1"/>
            </w14:solidFill>
          </w14:textFill>
        </w:rPr>
        <w:t>建立健全社区教育和老年教育管理制度和机制，规范教学活动和服务流程。加强与相关部门的沟通和合作，争取政府支持和社会资源，为老年教育提供更多的支持和保障。</w:t>
      </w:r>
    </w:p>
    <w:p w14:paraId="195403D5">
      <w:pPr>
        <w:keepNext w:val="0"/>
        <w:keepLines w:val="0"/>
        <w:pageBreakBefore w:val="0"/>
        <w:wordWrap/>
        <w:overflowPunct/>
        <w:topLinePunct w:val="0"/>
        <w:bidi w:val="0"/>
        <w:spacing w:line="440" w:lineRule="exact"/>
        <w:ind w:firstLine="482" w:firstLineChars="200"/>
        <w:rPr>
          <w:rFonts w:hint="eastAsia" w:ascii="宋体" w:hAnsi="宋体" w:eastAsia="宋体" w:cs="宋体"/>
          <w:b w:val="0"/>
          <w:bCs/>
          <w:color w:val="000000" w:themeColor="text1"/>
          <w:sz w:val="24"/>
          <w:szCs w:val="24"/>
          <w:lang w:val="en-US" w:eastAsia="zh-CN"/>
          <w14:textFill>
            <w14:solidFill>
              <w14:schemeClr w14:val="tx1"/>
            </w14:solidFill>
          </w14:textFill>
        </w:rPr>
      </w:pPr>
      <w:r>
        <w:rPr>
          <w:rFonts w:hint="eastAsia" w:ascii="黑体" w:hAnsi="黑体" w:eastAsia="黑体" w:cs="黑体"/>
          <w:b/>
          <w:bCs w:val="0"/>
          <w:color w:val="000000" w:themeColor="text1"/>
          <w:sz w:val="24"/>
          <w:szCs w:val="24"/>
          <w:lang w:val="en-US" w:eastAsia="zh-CN"/>
          <w14:textFill>
            <w14:solidFill>
              <w14:schemeClr w14:val="tx1"/>
            </w14:solidFill>
          </w14:textFill>
        </w:rPr>
        <w:t>效果评估</w:t>
      </w:r>
      <w:r>
        <w:rPr>
          <w:rFonts w:hint="eastAsia" w:ascii="黑体" w:hAnsi="黑体" w:eastAsia="黑体" w:cs="黑体"/>
          <w:b w:val="0"/>
          <w:bCs/>
          <w:color w:val="000000" w:themeColor="text1"/>
          <w:sz w:val="24"/>
          <w:szCs w:val="24"/>
          <w:lang w:val="en-US" w:eastAsia="zh-CN"/>
          <w14:textFill>
            <w14:solidFill>
              <w14:schemeClr w14:val="tx1"/>
            </w14:solidFill>
          </w14:textFill>
        </w:rPr>
        <w:t>。</w:t>
      </w:r>
      <w:r>
        <w:rPr>
          <w:rFonts w:hint="eastAsia" w:ascii="宋体" w:hAnsi="宋体" w:eastAsia="宋体" w:cs="宋体"/>
          <w:b w:val="0"/>
          <w:bCs/>
          <w:color w:val="000000" w:themeColor="text1"/>
          <w:sz w:val="24"/>
          <w:szCs w:val="24"/>
          <w:lang w:val="en-US" w:eastAsia="zh-CN"/>
          <w14:textFill>
            <w14:solidFill>
              <w14:schemeClr w14:val="tx1"/>
            </w14:solidFill>
          </w14:textFill>
        </w:rPr>
        <w:t>定期对社区教育和老年教育工作进行评估和总结，分析工作中存在的问题和不足，并提出相应的改进措施。通过学员满意度调查和学习成效评估，了解社区教育和老年教育工作的实际效果和影响。</w:t>
      </w:r>
    </w:p>
    <w:p w14:paraId="1CF537D4">
      <w:pPr>
        <w:keepNext w:val="0"/>
        <w:keepLines w:val="0"/>
        <w:pageBreakBefore w:val="0"/>
        <w:wordWrap/>
        <w:overflowPunct/>
        <w:topLinePunct w:val="0"/>
        <w:bidi w:val="0"/>
        <w:spacing w:line="440" w:lineRule="exact"/>
        <w:ind w:firstLine="562" w:firstLineChars="200"/>
        <w:jc w:val="both"/>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2.5</w:t>
      </w:r>
      <w:r>
        <w:rPr>
          <w:rFonts w:hint="eastAsia" w:ascii="黑体" w:hAnsi="黑体" w:eastAsia="黑体" w:cs="黑体"/>
          <w:b/>
          <w:bCs/>
          <w:color w:val="000000" w:themeColor="text1"/>
          <w:sz w:val="28"/>
          <w:szCs w:val="28"/>
          <w:lang w:val="en-US" w:eastAsia="zh-CN"/>
          <w14:textFill>
            <w14:solidFill>
              <w14:schemeClr w14:val="tx1"/>
            </w14:solidFill>
          </w14:textFill>
        </w:rPr>
        <w:t>服务区域合作</w:t>
      </w:r>
    </w:p>
    <w:p w14:paraId="3DB4A04F">
      <w:pPr>
        <w:keepNext w:val="0"/>
        <w:keepLines w:val="0"/>
        <w:pageBreakBefore w:val="0"/>
        <w:widowControl w:val="0"/>
        <w:kinsoku/>
        <w:wordWrap/>
        <w:overflowPunct/>
        <w:topLinePunct w:val="0"/>
        <w:autoSpaceDE/>
        <w:autoSpaceDN/>
        <w:bidi w:val="0"/>
        <w:adjustRightInd/>
        <w:snapToGrid w:val="0"/>
        <w:spacing w:line="440" w:lineRule="exact"/>
        <w:ind w:firstLine="480" w:firstLineChars="200"/>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学校根据企业需求调整专业设置、优化课程内容，培养符合市场需求的技能型人才；企业则为学生提供实习就业机会，助力他们快速成长。这种合作模式不仅提高了人才培养的针对性和实效性，更为区域经济的持续发展注入了源源不断的活力。</w:t>
      </w:r>
    </w:p>
    <w:p w14:paraId="33C2C67D">
      <w:pPr>
        <w:pStyle w:val="13"/>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firstLine="562" w:firstLineChars="200"/>
        <w:jc w:val="left"/>
        <w:rPr>
          <w:rFonts w:hint="eastAsia" w:ascii="黑体" w:hAnsi="黑体" w:eastAsia="黑体" w:cs="黑体"/>
          <w:b/>
          <w:bCs/>
          <w:color w:val="000000" w:themeColor="text1"/>
          <w:sz w:val="28"/>
          <w:szCs w:val="28"/>
          <w14:textFill>
            <w14:solidFill>
              <w14:schemeClr w14:val="tx1"/>
            </w14:solidFill>
          </w14:textFill>
        </w:rPr>
      </w:pPr>
    </w:p>
    <w:p w14:paraId="1C8EB0F8">
      <w:pPr>
        <w:pStyle w:val="13"/>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firstLine="562" w:firstLineChars="200"/>
        <w:jc w:val="left"/>
        <w:rPr>
          <w:rFonts w:hint="eastAsia" w:ascii="黑体" w:hAnsi="黑体" w:eastAsia="黑体" w:cs="黑体"/>
          <w:b/>
          <w:bCs/>
          <w:color w:val="000000" w:themeColor="text1"/>
          <w:sz w:val="28"/>
          <w:szCs w:val="28"/>
          <w14:textFill>
            <w14:solidFill>
              <w14:schemeClr w14:val="tx1"/>
            </w14:solidFill>
          </w14:textFill>
        </w:rPr>
      </w:pPr>
    </w:p>
    <w:p w14:paraId="607B73DD">
      <w:pPr>
        <w:pStyle w:val="13"/>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firstLine="562" w:firstLineChars="200"/>
        <w:jc w:val="left"/>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2.</w:t>
      </w:r>
      <w:r>
        <w:rPr>
          <w:rFonts w:hint="eastAsia" w:ascii="黑体" w:hAnsi="黑体" w:eastAsia="黑体" w:cs="黑体"/>
          <w:b/>
          <w:bCs/>
          <w:color w:val="000000" w:themeColor="text1"/>
          <w:sz w:val="28"/>
          <w:szCs w:val="28"/>
          <w:lang w:val="en-US" w:eastAsia="zh-CN"/>
          <w14:textFill>
            <w14:solidFill>
              <w14:schemeClr w14:val="tx1"/>
            </w14:solidFill>
          </w14:textFill>
        </w:rPr>
        <w:t>6服务基础教育</w:t>
      </w:r>
    </w:p>
    <w:p w14:paraId="643ACF9F">
      <w:pPr>
        <w:pStyle w:val="13"/>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firstLine="480" w:firstLineChars="200"/>
        <w:jc w:val="left"/>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我校充分发挥研学实践教育基地功能，构建了“输入</w:t>
      </w:r>
      <w:r>
        <w:rPr>
          <w:rFonts w:hint="eastAsia" w:ascii="宋体" w:hAnsi="宋体" w:cs="宋体"/>
          <w:b w:val="0"/>
          <w:bCs w:val="0"/>
          <w:color w:val="000000" w:themeColor="text1"/>
          <w:sz w:val="24"/>
          <w:szCs w:val="24"/>
          <w:lang w:val="en-US" w:eastAsia="zh-CN"/>
          <w14:textFill>
            <w14:solidFill>
              <w14:schemeClr w14:val="tx1"/>
            </w14:solidFill>
          </w14:textFill>
        </w:rPr>
        <w:t>—</w:t>
      </w:r>
      <w:r>
        <w:rPr>
          <w:rFonts w:hint="eastAsia" w:ascii="宋体" w:hAnsi="宋体" w:eastAsia="宋体" w:cs="宋体"/>
          <w:b w:val="0"/>
          <w:bCs w:val="0"/>
          <w:color w:val="000000" w:themeColor="text1"/>
          <w:sz w:val="24"/>
          <w:szCs w:val="24"/>
          <w:lang w:val="en-US" w:eastAsia="zh-CN"/>
          <w14:textFill>
            <w14:solidFill>
              <w14:schemeClr w14:val="tx1"/>
            </w14:solidFill>
          </w14:textFill>
        </w:rPr>
        <w:t>输出</w:t>
      </w:r>
      <w:r>
        <w:rPr>
          <w:rFonts w:hint="eastAsia" w:ascii="宋体" w:hAnsi="宋体" w:cs="宋体"/>
          <w:b w:val="0"/>
          <w:bCs w:val="0"/>
          <w:color w:val="000000" w:themeColor="text1"/>
          <w:sz w:val="24"/>
          <w:szCs w:val="24"/>
          <w:lang w:val="en-US" w:eastAsia="zh-CN"/>
          <w14:textFill>
            <w14:solidFill>
              <w14:schemeClr w14:val="tx1"/>
            </w14:solidFill>
          </w14:textFill>
        </w:rPr>
        <w:t>—</w:t>
      </w:r>
      <w:r>
        <w:rPr>
          <w:rFonts w:hint="eastAsia" w:ascii="宋体" w:hAnsi="宋体" w:eastAsia="宋体" w:cs="宋体"/>
          <w:b w:val="0"/>
          <w:bCs w:val="0"/>
          <w:color w:val="000000" w:themeColor="text1"/>
          <w:sz w:val="24"/>
          <w:szCs w:val="24"/>
          <w:lang w:val="en-US" w:eastAsia="zh-CN"/>
          <w14:textFill>
            <w14:solidFill>
              <w14:schemeClr w14:val="tx1"/>
            </w14:solidFill>
          </w14:textFill>
        </w:rPr>
        <w:t>特色”三位一体的青少年社会实践运行体系，成效显著。</w:t>
      </w:r>
    </w:p>
    <w:p w14:paraId="593FC1CB">
      <w:pPr>
        <w:pStyle w:val="13"/>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firstLine="480" w:firstLineChars="200"/>
        <w:jc w:val="left"/>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做法上，系统规划与精准保障并重。全年高质量完成市、旗两级学生实践接待与外出研学任务，累计服务超5500人次。通过制定10余项制度预案、与8家单位建立协同保障机制、投入百万升级硬件设施，并开展11次应急演练，确保了全年“安全零事故”。</w:t>
      </w:r>
    </w:p>
    <w:p w14:paraId="48E3C08E">
      <w:pPr>
        <w:pStyle w:val="13"/>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firstLine="480" w:firstLineChars="200"/>
        <w:jc w:val="left"/>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成效上，实现了活动覆盖面与育人实效双提升。旗内学生实践参与率达90.6%，实践报告优良率达92%。学校不仅圆满完成了自治区级营地验收，其“精细化安全管控与主题化课程设计相结合”的模式，已成为区域性社会实践的标杆，充分彰显了学校服务基础教育的综合能力与社会担当。</w:t>
      </w:r>
    </w:p>
    <w:p w14:paraId="12DA3B47">
      <w:pPr>
        <w:pStyle w:val="13"/>
        <w:keepNext w:val="0"/>
        <w:keepLines w:val="0"/>
        <w:pageBreakBefore w:val="0"/>
        <w:widowControl/>
        <w:numPr>
          <w:ilvl w:val="0"/>
          <w:numId w:val="0"/>
        </w:numPr>
        <w:suppressLineNumbers w:val="0"/>
        <w:wordWrap/>
        <w:overflowPunct/>
        <w:topLinePunct w:val="0"/>
        <w:bidi w:val="0"/>
        <w:spacing w:before="0" w:beforeAutospacing="0" w:after="0" w:afterAutospacing="0" w:line="440" w:lineRule="exact"/>
        <w:ind w:right="0" w:rightChars="0"/>
        <w:jc w:val="left"/>
        <w:rPr>
          <w:rFonts w:hint="eastAsia" w:ascii="宋体" w:hAnsi="宋体" w:eastAsia="宋体" w:cs="宋体"/>
          <w:b w:val="0"/>
          <w:bCs w:val="0"/>
          <w:color w:val="000000" w:themeColor="text1"/>
          <w:sz w:val="24"/>
          <w:szCs w:val="24"/>
          <w:shd w:val="clear" w:fill="FFFFFF"/>
          <w14:textFill>
            <w14:solidFill>
              <w14:schemeClr w14:val="tx1"/>
            </w14:solidFill>
          </w14:textFill>
        </w:rPr>
      </w:pPr>
    </w:p>
    <w:p w14:paraId="63EF9CF5">
      <w:pPr>
        <w:keepNext w:val="0"/>
        <w:keepLines w:val="0"/>
        <w:pageBreakBefore w:val="0"/>
        <w:widowControl/>
        <w:shd w:val="clear" w:color="auto" w:fill="FFFFFF" w:themeFill="background1"/>
        <w:kinsoku/>
        <w:wordWrap/>
        <w:overflowPunct/>
        <w:topLinePunct w:val="0"/>
        <w:autoSpaceDE/>
        <w:autoSpaceDN/>
        <w:bidi w:val="0"/>
        <w:adjustRightInd/>
        <w:snapToGrid/>
        <w:spacing w:line="520" w:lineRule="exact"/>
        <w:jc w:val="both"/>
        <w:textAlignment w:val="auto"/>
        <w:rPr>
          <w:rStyle w:val="41"/>
          <w:rFonts w:hint="eastAsia" w:ascii="仿宋" w:hAnsi="仿宋" w:eastAsia="仿宋" w:cs="仿宋"/>
          <w:b/>
          <w:bCs w:val="0"/>
          <w:color w:val="000000" w:themeColor="text1"/>
          <w:sz w:val="30"/>
          <w:szCs w:val="30"/>
          <w:lang w:val="en-US" w:eastAsia="zh-CN"/>
          <w14:textFill>
            <w14:solidFill>
              <w14:schemeClr w14:val="tx1"/>
            </w14:solidFill>
          </w14:textFill>
        </w:rPr>
      </w:pPr>
      <w:r>
        <w:rPr>
          <w:rStyle w:val="41"/>
          <w:rFonts w:hint="eastAsia" w:ascii="黑体" w:hAnsi="黑体" w:eastAsia="黑体" w:cs="黑体"/>
          <w:b/>
          <w:bCs w:val="0"/>
          <w:color w:val="000000" w:themeColor="text1"/>
          <w:sz w:val="30"/>
          <w:szCs w:val="30"/>
          <w:lang w:val="en-US" w:eastAsia="zh-CN"/>
          <w14:textFill>
            <w14:solidFill>
              <w14:schemeClr w14:val="tx1"/>
            </w14:solidFill>
          </w14:textFill>
        </w:rPr>
        <w:t xml:space="preserve">案例2-1 </w:t>
      </w:r>
      <w:r>
        <w:rPr>
          <w:rStyle w:val="41"/>
          <w:rFonts w:hint="eastAsia" w:ascii="仿宋" w:hAnsi="仿宋" w:eastAsia="仿宋" w:cs="仿宋"/>
          <w:b/>
          <w:bCs w:val="0"/>
          <w:color w:val="000000" w:themeColor="text1"/>
          <w:sz w:val="30"/>
          <w:szCs w:val="30"/>
          <w:lang w:val="en-US" w:eastAsia="zh-CN"/>
          <w14:textFill>
            <w14:solidFill>
              <w14:schemeClr w14:val="tx1"/>
            </w14:solidFill>
          </w14:textFill>
        </w:rPr>
        <w:t xml:space="preserve">     </w:t>
      </w:r>
    </w:p>
    <w:p w14:paraId="31610899">
      <w:pPr>
        <w:keepNext w:val="0"/>
        <w:keepLines w:val="0"/>
        <w:pageBreakBefore w:val="0"/>
        <w:widowControl/>
        <w:shd w:val="clear" w:color="auto" w:fill="FFFFFF" w:themeFill="background1"/>
        <w:kinsoku/>
        <w:wordWrap/>
        <w:overflowPunct/>
        <w:topLinePunct w:val="0"/>
        <w:autoSpaceDE/>
        <w:autoSpaceDN/>
        <w:bidi w:val="0"/>
        <w:adjustRightInd/>
        <w:snapToGrid/>
        <w:spacing w:line="520" w:lineRule="exact"/>
        <w:jc w:val="center"/>
        <w:textAlignment w:val="auto"/>
        <w:rPr>
          <w:rStyle w:val="41"/>
          <w:rFonts w:hint="eastAsia" w:ascii="仿宋" w:hAnsi="仿宋" w:eastAsia="仿宋" w:cs="仿宋"/>
          <w:b/>
          <w:bCs/>
          <w:color w:val="000000" w:themeColor="text1"/>
          <w:sz w:val="30"/>
          <w:szCs w:val="30"/>
          <w:lang w:val="en-US" w:eastAsia="zh-CN"/>
          <w14:textFill>
            <w14:solidFill>
              <w14:schemeClr w14:val="tx1"/>
            </w14:solidFill>
          </w14:textFill>
        </w:rPr>
      </w:pPr>
      <w:r>
        <w:rPr>
          <w:rStyle w:val="25"/>
          <w:rFonts w:hint="eastAsia" w:ascii="仿宋" w:hAnsi="仿宋" w:eastAsia="仿宋" w:cs="仿宋"/>
          <w:b/>
          <w:bCs/>
          <w:i w:val="0"/>
          <w:iCs w:val="0"/>
          <w:caps w:val="0"/>
          <w:color w:val="0F1115"/>
          <w:spacing w:val="0"/>
          <w:sz w:val="24"/>
          <w:szCs w:val="24"/>
          <w:shd w:val="clear" w:fill="FFFFFF"/>
        </w:rPr>
        <w:t>面包烘焙技能培训，助力群众就业创业</w:t>
      </w:r>
    </w:p>
    <w:p w14:paraId="23970213">
      <w:pPr>
        <w:pStyle w:val="2"/>
        <w:keepNext w:val="0"/>
        <w:keepLines w:val="0"/>
        <w:pageBreakBefore w:val="0"/>
        <w:widowControl w:val="0"/>
        <w:kinsoku/>
        <w:wordWrap/>
        <w:overflowPunct/>
        <w:topLinePunct w:val="0"/>
        <w:autoSpaceDE/>
        <w:autoSpaceDN/>
        <w:bidi w:val="0"/>
        <w:adjustRightInd/>
        <w:snapToGrid/>
        <w:spacing w:after="0" w:line="440" w:lineRule="exact"/>
        <w:ind w:firstLine="516" w:firstLineChars="200"/>
        <w:textAlignment w:val="auto"/>
        <w:rPr>
          <w:rFonts w:hint="default"/>
          <w:b w:val="0"/>
          <w:bCs w:val="0"/>
          <w:lang w:val="en-US" w:eastAsia="zh-CN"/>
        </w:rPr>
      </w:pPr>
      <w:r>
        <w:rPr>
          <w:rFonts w:hint="eastAsia" w:ascii="仿宋" w:hAnsi="仿宋" w:eastAsia="仿宋" w:cs="仿宋"/>
          <w:b w:val="0"/>
          <w:bCs w:val="0"/>
          <w:color w:val="000000" w:themeColor="text1"/>
          <w:spacing w:val="9"/>
          <w:sz w:val="24"/>
          <w:szCs w:val="24"/>
          <w:lang w:val="en-US" w:eastAsia="zh-CN"/>
          <w14:textFill>
            <w14:solidFill>
              <w14:schemeClr w14:val="tx1"/>
            </w14:solidFill>
          </w14:textFill>
        </w:rPr>
        <w:t>2025年10月28日，杭锦后旗职业教育中心开设面包烘焙技能培训班，帮助群众提升技能、拓宽就业创业路径。</w:t>
      </w:r>
    </w:p>
    <w:p w14:paraId="4C2AC792">
      <w:pPr>
        <w:keepNext w:val="0"/>
        <w:keepLines w:val="0"/>
        <w:pageBreakBefore w:val="0"/>
        <w:widowControl w:val="0"/>
        <w:kinsoku/>
        <w:wordWrap/>
        <w:overflowPunct/>
        <w:topLinePunct w:val="0"/>
        <w:autoSpaceDE/>
        <w:autoSpaceDN/>
        <w:bidi w:val="0"/>
        <w:adjustRightInd/>
        <w:snapToGrid/>
        <w:spacing w:before="164" w:line="240" w:lineRule="auto"/>
        <w:ind w:right="17"/>
        <w:jc w:val="center"/>
        <w:textAlignment w:val="auto"/>
        <w:rPr>
          <w:rFonts w:hint="eastAsia" w:ascii="仿宋" w:hAnsi="仿宋" w:eastAsia="仿宋" w:cs="仿宋"/>
          <w:color w:val="000000" w:themeColor="text1"/>
          <w:spacing w:val="7"/>
          <w:sz w:val="24"/>
          <w:szCs w:val="24"/>
          <w:lang w:eastAsia="zh-CN"/>
          <w14:textFill>
            <w14:solidFill>
              <w14:schemeClr w14:val="tx1"/>
            </w14:solidFill>
          </w14:textFill>
        </w:rPr>
      </w:pPr>
      <w:r>
        <w:rPr>
          <w:rFonts w:hint="eastAsia" w:ascii="仿宋" w:hAnsi="仿宋" w:eastAsia="仿宋" w:cs="仿宋"/>
          <w:color w:val="000000" w:themeColor="text1"/>
          <w:spacing w:val="7"/>
          <w:sz w:val="24"/>
          <w:szCs w:val="24"/>
          <w:lang w:eastAsia="zh-CN"/>
          <w14:textFill>
            <w14:solidFill>
              <w14:schemeClr w14:val="tx1"/>
            </w14:solidFill>
          </w14:textFill>
        </w:rPr>
        <w:drawing>
          <wp:inline distT="0" distB="0" distL="114300" distR="114300">
            <wp:extent cx="4679950" cy="3086100"/>
            <wp:effectExtent l="0" t="0" r="6350" b="0"/>
            <wp:docPr id="1" name="图片 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2"/>
                    <pic:cNvPicPr>
                      <a:picLocks noChangeAspect="1"/>
                    </pic:cNvPicPr>
                  </pic:nvPicPr>
                  <pic:blipFill>
                    <a:blip r:embed="rId21"/>
                    <a:srcRect l="5088" t="15544" r="4919" b="5337"/>
                    <a:stretch>
                      <a:fillRect/>
                    </a:stretch>
                  </pic:blipFill>
                  <pic:spPr>
                    <a:xfrm>
                      <a:off x="0" y="0"/>
                      <a:ext cx="4679950" cy="3086100"/>
                    </a:xfrm>
                    <a:prstGeom prst="rect">
                      <a:avLst/>
                    </a:prstGeom>
                  </pic:spPr>
                </pic:pic>
              </a:graphicData>
            </a:graphic>
          </wp:inline>
        </w:drawing>
      </w:r>
    </w:p>
    <w:p w14:paraId="2B997CBA">
      <w:pPr>
        <w:pStyle w:val="3"/>
        <w:keepNext w:val="0"/>
        <w:keepLines w:val="0"/>
        <w:pageBreakBefore w:val="0"/>
        <w:widowControl w:val="0"/>
        <w:kinsoku/>
        <w:wordWrap/>
        <w:overflowPunct/>
        <w:topLinePunct w:val="0"/>
        <w:autoSpaceDE/>
        <w:autoSpaceDN/>
        <w:bidi w:val="0"/>
        <w:adjustRightInd/>
        <w:snapToGrid/>
        <w:spacing w:before="160" w:line="460" w:lineRule="exact"/>
        <w:ind w:right="266" w:firstLine="2848" w:firstLineChars="1100"/>
        <w:jc w:val="both"/>
        <w:textAlignment w:val="auto"/>
        <w:rPr>
          <w:rFonts w:hint="eastAsia" w:ascii="仿宋" w:hAnsi="仿宋" w:eastAsia="仿宋" w:cs="仿宋"/>
          <w:b/>
          <w:bCs/>
          <w:color w:val="000000" w:themeColor="text1"/>
          <w:spacing w:val="9"/>
          <w:sz w:val="24"/>
          <w:szCs w:val="24"/>
          <w:lang w:val="en-US" w:eastAsia="zh-CN"/>
          <w14:textFill>
            <w14:solidFill>
              <w14:schemeClr w14:val="tx1"/>
            </w14:solidFill>
          </w14:textFill>
        </w:rPr>
      </w:pPr>
      <w:r>
        <w:rPr>
          <w:rFonts w:hint="eastAsia" w:ascii="仿宋" w:hAnsi="仿宋" w:eastAsia="仿宋" w:cs="仿宋"/>
          <w:b/>
          <w:bCs/>
          <w:color w:val="000000" w:themeColor="text1"/>
          <w:spacing w:val="9"/>
          <w:sz w:val="24"/>
          <w:szCs w:val="24"/>
          <w:lang w:val="en-US" w:eastAsia="zh-CN"/>
          <w14:textFill>
            <w14:solidFill>
              <w14:schemeClr w14:val="tx1"/>
            </w14:solidFill>
          </w14:textFill>
        </w:rPr>
        <w:t>图2-1 面包烘焙技能培训</w:t>
      </w:r>
    </w:p>
    <w:p w14:paraId="0ADF3B4F">
      <w:pPr>
        <w:pStyle w:val="3"/>
        <w:keepNext w:val="0"/>
        <w:keepLines w:val="0"/>
        <w:pageBreakBefore w:val="0"/>
        <w:widowControl w:val="0"/>
        <w:kinsoku/>
        <w:wordWrap/>
        <w:overflowPunct/>
        <w:topLinePunct w:val="0"/>
        <w:autoSpaceDE/>
        <w:autoSpaceDN/>
        <w:bidi w:val="0"/>
        <w:adjustRightInd/>
        <w:snapToGrid/>
        <w:spacing w:before="160" w:line="240" w:lineRule="auto"/>
        <w:ind w:right="266"/>
        <w:jc w:val="center"/>
        <w:textAlignment w:val="auto"/>
        <w:rPr>
          <w:rFonts w:hint="eastAsia" w:ascii="仿宋" w:hAnsi="仿宋" w:eastAsia="仿宋" w:cs="仿宋"/>
          <w:color w:val="000000" w:themeColor="text1"/>
          <w:spacing w:val="5"/>
          <w:sz w:val="24"/>
          <w:szCs w:val="24"/>
          <w:lang w:eastAsia="zh-CN"/>
          <w14:textFill>
            <w14:solidFill>
              <w14:schemeClr w14:val="tx1"/>
            </w14:solidFill>
          </w14:textFill>
        </w:rPr>
      </w:pPr>
      <w:r>
        <w:rPr>
          <w:rFonts w:hint="eastAsia" w:ascii="仿宋" w:hAnsi="仿宋" w:eastAsia="仿宋" w:cs="仿宋"/>
          <w:color w:val="000000" w:themeColor="text1"/>
          <w:spacing w:val="5"/>
          <w:sz w:val="24"/>
          <w:szCs w:val="24"/>
          <w:lang w:val="en-US" w:eastAsia="zh-CN"/>
          <w14:textFill>
            <w14:solidFill>
              <w14:schemeClr w14:val="tx1"/>
            </w14:solidFill>
          </w14:textFill>
        </w:rPr>
        <w:t xml:space="preserve"> </w:t>
      </w:r>
      <w:r>
        <w:rPr>
          <w:rFonts w:hint="eastAsia" w:ascii="仿宋" w:hAnsi="仿宋" w:eastAsia="仿宋" w:cs="仿宋"/>
          <w:color w:val="000000" w:themeColor="text1"/>
          <w:spacing w:val="5"/>
          <w:sz w:val="24"/>
          <w:szCs w:val="24"/>
          <w:lang w:eastAsia="zh-CN"/>
          <w14:textFill>
            <w14:solidFill>
              <w14:schemeClr w14:val="tx1"/>
            </w14:solidFill>
          </w14:textFill>
        </w:rPr>
        <w:drawing>
          <wp:inline distT="0" distB="0" distL="114300" distR="114300">
            <wp:extent cx="4679950" cy="2823845"/>
            <wp:effectExtent l="0" t="0" r="6350" b="14605"/>
            <wp:docPr id="30" name="图片 30" descr="5882bf2eeb28fbac6a15ffde5f34c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5882bf2eeb28fbac6a15ffde5f34c800"/>
                    <pic:cNvPicPr>
                      <a:picLocks noChangeAspect="1"/>
                    </pic:cNvPicPr>
                  </pic:nvPicPr>
                  <pic:blipFill>
                    <a:blip r:embed="rId22"/>
                    <a:srcRect t="6487" b="14281"/>
                    <a:stretch>
                      <a:fillRect/>
                    </a:stretch>
                  </pic:blipFill>
                  <pic:spPr>
                    <a:xfrm>
                      <a:off x="0" y="0"/>
                      <a:ext cx="4679950" cy="2823845"/>
                    </a:xfrm>
                    <a:prstGeom prst="rect">
                      <a:avLst/>
                    </a:prstGeom>
                  </pic:spPr>
                </pic:pic>
              </a:graphicData>
            </a:graphic>
          </wp:inline>
        </w:drawing>
      </w:r>
    </w:p>
    <w:p w14:paraId="1F77F0CD">
      <w:pPr>
        <w:pStyle w:val="3"/>
        <w:keepNext w:val="0"/>
        <w:keepLines w:val="0"/>
        <w:pageBreakBefore w:val="0"/>
        <w:widowControl w:val="0"/>
        <w:kinsoku/>
        <w:wordWrap/>
        <w:overflowPunct/>
        <w:topLinePunct w:val="0"/>
        <w:autoSpaceDE/>
        <w:autoSpaceDN/>
        <w:bidi w:val="0"/>
        <w:adjustRightInd/>
        <w:snapToGrid/>
        <w:spacing w:before="160" w:line="460" w:lineRule="exact"/>
        <w:ind w:right="266" w:firstLine="777" w:firstLineChars="300"/>
        <w:jc w:val="center"/>
        <w:textAlignment w:val="auto"/>
        <w:rPr>
          <w:rFonts w:hint="eastAsia" w:ascii="仿宋" w:hAnsi="仿宋" w:eastAsia="仿宋" w:cs="仿宋"/>
          <w:b/>
          <w:bCs/>
          <w:color w:val="000000" w:themeColor="text1"/>
          <w:spacing w:val="9"/>
          <w:sz w:val="24"/>
          <w:szCs w:val="24"/>
          <w:lang w:val="en-US" w:eastAsia="zh-CN"/>
          <w14:textFill>
            <w14:solidFill>
              <w14:schemeClr w14:val="tx1"/>
            </w14:solidFill>
          </w14:textFill>
        </w:rPr>
      </w:pPr>
      <w:r>
        <w:rPr>
          <w:rFonts w:hint="eastAsia" w:ascii="仿宋" w:hAnsi="仿宋" w:eastAsia="仿宋" w:cs="仿宋"/>
          <w:b/>
          <w:bCs/>
          <w:color w:val="000000" w:themeColor="text1"/>
          <w:spacing w:val="9"/>
          <w:sz w:val="24"/>
          <w:szCs w:val="24"/>
          <w:lang w:val="en-US" w:eastAsia="zh-CN"/>
          <w14:textFill>
            <w14:solidFill>
              <w14:schemeClr w14:val="tx1"/>
            </w14:solidFill>
          </w14:textFill>
        </w:rPr>
        <w:t>图2-2 曲奇饼制作</w:t>
      </w:r>
    </w:p>
    <w:p w14:paraId="3CBD0BAB">
      <w:pPr>
        <w:pStyle w:val="3"/>
        <w:keepNext w:val="0"/>
        <w:keepLines w:val="0"/>
        <w:pageBreakBefore w:val="0"/>
        <w:widowControl w:val="0"/>
        <w:kinsoku/>
        <w:wordWrap/>
        <w:overflowPunct/>
        <w:topLinePunct w:val="0"/>
        <w:autoSpaceDE/>
        <w:autoSpaceDN/>
        <w:bidi w:val="0"/>
        <w:adjustRightInd/>
        <w:snapToGrid/>
        <w:spacing w:before="160" w:line="460" w:lineRule="exact"/>
        <w:ind w:right="266" w:firstLine="516" w:firstLineChars="200"/>
        <w:jc w:val="both"/>
        <w:textAlignment w:val="auto"/>
        <w:rPr>
          <w:rFonts w:hint="eastAsia" w:ascii="仿宋" w:hAnsi="仿宋" w:eastAsia="仿宋" w:cs="仿宋"/>
          <w:b w:val="0"/>
          <w:bCs w:val="0"/>
          <w:color w:val="000000" w:themeColor="text1"/>
          <w:spacing w:val="9"/>
          <w:sz w:val="24"/>
          <w:szCs w:val="24"/>
          <w:lang w:val="en-US" w:eastAsia="zh-CN"/>
          <w14:textFill>
            <w14:solidFill>
              <w14:schemeClr w14:val="tx1"/>
            </w14:solidFill>
          </w14:textFill>
        </w:rPr>
      </w:pPr>
      <w:r>
        <w:rPr>
          <w:rFonts w:hint="eastAsia" w:ascii="仿宋" w:hAnsi="仿宋" w:eastAsia="仿宋" w:cs="仿宋"/>
          <w:b w:val="0"/>
          <w:bCs w:val="0"/>
          <w:color w:val="000000" w:themeColor="text1"/>
          <w:spacing w:val="9"/>
          <w:sz w:val="24"/>
          <w:szCs w:val="24"/>
          <w:lang w:val="en-US" w:eastAsia="zh-CN"/>
          <w14:textFill>
            <w14:solidFill>
              <w14:schemeClr w14:val="tx1"/>
            </w14:solidFill>
          </w14:textFill>
        </w:rPr>
        <w:t>培训以理论+实操双轨模式开展，授课老师围绕哈雷蛋糕制作，从食材配比、搅拌手法到烘烤温时控制，进行深入浅出的讲解。学员们全神贯注记录要点，在实操环节专注完成称量、搅拌、装模、烘烤等步骤，最终收获色泽诱人的成品。此次培训立足市场需求，凭借清晰的教学流程、实用的技能输出，营造出高效且愉悦的学习氛围，为同类职业技能培训提供了可复制、可推广的实践范本。</w:t>
      </w:r>
    </w:p>
    <w:p w14:paraId="7CDF7FBD">
      <w:pPr>
        <w:pStyle w:val="3"/>
        <w:spacing w:before="164" w:line="356" w:lineRule="auto"/>
        <w:ind w:right="13"/>
        <w:jc w:val="center"/>
        <w:rPr>
          <w:rFonts w:hint="eastAsia" w:eastAsia="宋体"/>
          <w:color w:val="000000" w:themeColor="text1"/>
          <w:position w:val="-88"/>
          <w:lang w:eastAsia="zh-CN"/>
          <w14:textFill>
            <w14:solidFill>
              <w14:schemeClr w14:val="tx1"/>
            </w14:solidFill>
          </w14:textFill>
        </w:rPr>
      </w:pPr>
      <w:r>
        <w:rPr>
          <w:rFonts w:hint="eastAsia" w:eastAsia="宋体"/>
          <w:color w:val="000000" w:themeColor="text1"/>
          <w:position w:val="-88"/>
          <w:lang w:eastAsia="zh-CN"/>
          <w14:textFill>
            <w14:solidFill>
              <w14:schemeClr w14:val="tx1"/>
            </w14:solidFill>
          </w14:textFill>
        </w:rPr>
        <w:drawing>
          <wp:inline distT="0" distB="0" distL="114300" distR="114300">
            <wp:extent cx="4679950" cy="2689860"/>
            <wp:effectExtent l="0" t="0" r="6350" b="15240"/>
            <wp:docPr id="31" name="图片 31" descr="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面2"/>
                    <pic:cNvPicPr>
                      <a:picLocks noChangeAspect="1"/>
                    </pic:cNvPicPr>
                  </pic:nvPicPr>
                  <pic:blipFill>
                    <a:blip r:embed="rId23"/>
                    <a:srcRect l="3592" t="7771" r="5716" b="616"/>
                    <a:stretch>
                      <a:fillRect/>
                    </a:stretch>
                  </pic:blipFill>
                  <pic:spPr>
                    <a:xfrm>
                      <a:off x="0" y="0"/>
                      <a:ext cx="4679950" cy="2689860"/>
                    </a:xfrm>
                    <a:prstGeom prst="rect">
                      <a:avLst/>
                    </a:prstGeom>
                  </pic:spPr>
                </pic:pic>
              </a:graphicData>
            </a:graphic>
          </wp:inline>
        </w:drawing>
      </w:r>
    </w:p>
    <w:p w14:paraId="3DF257AA">
      <w:pPr>
        <w:pStyle w:val="3"/>
        <w:spacing w:before="164" w:line="356" w:lineRule="auto"/>
        <w:ind w:right="13"/>
        <w:jc w:val="center"/>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pacing w:val="9"/>
          <w:sz w:val="24"/>
          <w:szCs w:val="24"/>
          <w:lang w:val="en-US" w:eastAsia="zh-CN"/>
          <w14:textFill>
            <w14:solidFill>
              <w14:schemeClr w14:val="tx1"/>
            </w14:solidFill>
          </w14:textFill>
        </w:rPr>
        <w:t>图2-3 面包烘焙技能培训班合影留念</w:t>
      </w:r>
    </w:p>
    <w:p w14:paraId="47746998">
      <w:pPr>
        <w:keepNext w:val="0"/>
        <w:keepLines w:val="0"/>
        <w:pageBreakBefore w:val="0"/>
        <w:widowControl w:val="0"/>
        <w:numPr>
          <w:ilvl w:val="0"/>
          <w:numId w:val="0"/>
        </w:numPr>
        <w:tabs>
          <w:tab w:val="left" w:pos="1173"/>
        </w:tabs>
        <w:kinsoku/>
        <w:wordWrap/>
        <w:overflowPunct/>
        <w:topLinePunct w:val="0"/>
        <w:autoSpaceDE/>
        <w:autoSpaceDN/>
        <w:bidi w:val="0"/>
        <w:adjustRightInd/>
        <w:snapToGrid/>
        <w:spacing w:before="157" w:beforeLines="50" w:after="157" w:afterLines="50" w:line="440" w:lineRule="exact"/>
        <w:ind w:firstLine="602" w:firstLineChars="200"/>
        <w:jc w:val="left"/>
        <w:textAlignment w:val="auto"/>
        <w:rPr>
          <w:rFonts w:hint="eastAsia" w:ascii="黑体" w:hAnsi="黑体" w:eastAsia="黑体" w:cs="宋体"/>
          <w:b/>
          <w:bCs/>
          <w:color w:val="000000" w:themeColor="text1"/>
          <w:sz w:val="30"/>
          <w:szCs w:val="30"/>
          <w:lang w:val="en-US" w:eastAsia="zh-CN"/>
          <w14:textFill>
            <w14:solidFill>
              <w14:schemeClr w14:val="tx1"/>
            </w14:solidFill>
          </w14:textFill>
        </w:rPr>
      </w:pPr>
      <w:r>
        <w:rPr>
          <w:rFonts w:hint="eastAsia" w:ascii="黑体" w:hAnsi="黑体" w:eastAsia="黑体" w:cs="宋体"/>
          <w:b/>
          <w:bCs/>
          <w:color w:val="000000" w:themeColor="text1"/>
          <w:sz w:val="30"/>
          <w:szCs w:val="30"/>
          <w:lang w:val="en-US" w:eastAsia="zh-CN"/>
          <w14:textFill>
            <w14:solidFill>
              <w14:schemeClr w14:val="tx1"/>
            </w14:solidFill>
          </w14:textFill>
        </w:rPr>
        <w:t>3.文化传承</w:t>
      </w:r>
    </w:p>
    <w:p w14:paraId="024C0339">
      <w:pPr>
        <w:pStyle w:val="2"/>
        <w:keepNext w:val="0"/>
        <w:keepLines w:val="0"/>
        <w:pageBreakBefore w:val="0"/>
        <w:widowControl w:val="0"/>
        <w:numPr>
          <w:ilvl w:val="0"/>
          <w:numId w:val="0"/>
        </w:numPr>
        <w:kinsoku/>
        <w:wordWrap/>
        <w:overflowPunct/>
        <w:topLinePunct w:val="0"/>
        <w:autoSpaceDE/>
        <w:autoSpaceDN/>
        <w:bidi w:val="0"/>
        <w:adjustRightInd/>
        <w:snapToGrid/>
        <w:spacing w:after="0" w:line="440" w:lineRule="exact"/>
        <w:ind w:firstLine="480" w:firstLineChars="200"/>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学校深耕文化育人，系统构建传承体系。通过打造书法、剪纸等社团传承中华优秀传统文化；依托党建基地与“青马工程”融合红色基因；挖掘地方资源开展研学实践，厚植家国情怀；并以“读书行动”与“书香校园”建设营造全员阅读氛围，全方位培育时代新人。</w:t>
      </w:r>
    </w:p>
    <w:p w14:paraId="2294D5ED">
      <w:pPr>
        <w:keepNext w:val="0"/>
        <w:keepLines w:val="0"/>
        <w:pageBreakBefore w:val="0"/>
        <w:widowControl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3.1</w:t>
      </w:r>
      <w:r>
        <w:rPr>
          <w:rFonts w:hint="eastAsia" w:ascii="黑体" w:hAnsi="黑体" w:eastAsia="黑体" w:cs="黑体"/>
          <w:b/>
          <w:bCs/>
          <w:color w:val="000000" w:themeColor="text1"/>
          <w:sz w:val="28"/>
          <w:szCs w:val="28"/>
          <w:lang w:val="en-US" w:eastAsia="zh-CN"/>
          <w14:textFill>
            <w14:solidFill>
              <w14:schemeClr w14:val="tx1"/>
            </w14:solidFill>
          </w14:textFill>
        </w:rPr>
        <w:t>传承传统文化</w:t>
      </w:r>
    </w:p>
    <w:p w14:paraId="19A754F4">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lang w:val="en-US" w:eastAsia="zh-CN"/>
        </w:rPr>
      </w:pPr>
      <w:r>
        <w:rPr>
          <w:rFonts w:hint="eastAsia" w:ascii="宋体" w:hAnsi="宋体" w:eastAsia="宋体" w:cs="宋体"/>
          <w:color w:val="000000" w:themeColor="text1"/>
          <w:sz w:val="24"/>
          <w:szCs w:val="24"/>
          <w:lang w:val="en-US" w:eastAsia="zh-CN"/>
          <w14:textFill>
            <w14:solidFill>
              <w14:schemeClr w14:val="tx1"/>
            </w14:solidFill>
          </w14:textFill>
        </w:rPr>
        <w:t>以校园文化建设为载体，充分发挥文化育人、导向与激励功能，将传统文化传承融入社团建设全过程。重点打造书法、剪纸、中国结艺、花艺编织等传统文化社团，搭建师生创新实践平台。通过常态化开展社团活动、作品展览、技艺交流等形式，营造充满文化魅力的校园氛围，引导学生深入了解传统技艺的历史脉络，培育师生艺术修养，激发对民族文化艺术的热爱，切实落地“传承民族文化培育时代新人”的办学理念。</w:t>
      </w:r>
    </w:p>
    <w:p w14:paraId="55363343">
      <w:pPr>
        <w:keepNext w:val="0"/>
        <w:keepLines w:val="0"/>
        <w:pageBreakBefore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3.2</w:t>
      </w:r>
      <w:r>
        <w:rPr>
          <w:rFonts w:hint="eastAsia" w:ascii="黑体" w:hAnsi="黑体" w:eastAsia="黑体" w:cs="黑体"/>
          <w:b/>
          <w:bCs/>
          <w:color w:val="000000" w:themeColor="text1"/>
          <w:sz w:val="28"/>
          <w:szCs w:val="28"/>
          <w:lang w:val="en-US" w:eastAsia="zh-CN"/>
          <w14:textFill>
            <w14:solidFill>
              <w14:schemeClr w14:val="tx1"/>
            </w14:solidFill>
          </w14:textFill>
        </w:rPr>
        <w:t>传承红色文化</w:t>
      </w:r>
    </w:p>
    <w:p w14:paraId="781D058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学校打造“党建思政教育实践基地”红色文化育人平台。通过组织党员教师开展沉浸式主题党日活动，将红色文化教育融入日常党建工作。以“重温入党誓词+基地参观学习+专题党课+实践研讨”为主线，系统展现党的百年奋斗历程。党员教师在红色场馆中实地感悟革命精神，在专题党课中深化理论认知，在交流研讨中碰撞思想火花。活动特别注重学用结合，引导教师将红色基因融入课堂教学，开发课程思政案例，把党史学习教育成果转化为立德树人的实际行动，助力培养担当民族复兴大任的时代新人。</w:t>
      </w:r>
    </w:p>
    <w:p w14:paraId="2EC9CC6F">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以红色教育为引领，构建“理论学习+主题活动+研学实践”的红色文化传承体系。一方面，组建第三期“青马工程”培训班，组织青年团员开展专题学习，夯实思想根基；另一方面，丰富活动载体，开展爱国主义主题教育、红色主题团日、铸牢中华民族共同体意识等多样主题活动，新增“红歌嘹亮颂祖国”合唱比赛、“传承红色基因·争做时代新人”主题演讲比赛，以歌声传递爱国情怀，以演讲抒发青春担当。与此同时，依托杭锦后旗红色资源，赴米仓县开展2025年春季团前教育研学活动，让学生在实地探访中感悟革命历史，汲取精神力量，推动红色基因融入青年血脉。</w:t>
      </w:r>
    </w:p>
    <w:p w14:paraId="5B366139">
      <w:pPr>
        <w:keepNext w:val="0"/>
        <w:keepLines w:val="0"/>
        <w:pageBreakBefore w:val="0"/>
        <w:kinsoku/>
        <w:wordWrap/>
        <w:overflowPunct/>
        <w:topLinePunct w:val="0"/>
        <w:autoSpaceDE/>
        <w:autoSpaceDN/>
        <w:bidi w:val="0"/>
        <w:adjustRightInd/>
        <w:snapToGrid/>
        <w:spacing w:line="440" w:lineRule="exact"/>
        <w:ind w:firstLine="562" w:firstLineChars="200"/>
        <w:jc w:val="both"/>
        <w:textAlignment w:val="auto"/>
        <w:rPr>
          <w:rFonts w:hint="eastAsia" w:ascii="黑体" w:hAnsi="黑体" w:eastAsia="黑体" w:cs="黑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3.3</w:t>
      </w:r>
      <w:r>
        <w:rPr>
          <w:rFonts w:hint="eastAsia" w:ascii="黑体" w:hAnsi="黑体" w:eastAsia="黑体" w:cs="黑体"/>
          <w:b/>
          <w:bCs/>
          <w:color w:val="000000" w:themeColor="text1"/>
          <w:sz w:val="28"/>
          <w:szCs w:val="28"/>
          <w:lang w:val="en-US" w:eastAsia="zh-CN"/>
          <w14:textFill>
            <w14:solidFill>
              <w14:schemeClr w14:val="tx1"/>
            </w14:solidFill>
          </w14:textFill>
        </w:rPr>
        <w:t>传承地方文化</w:t>
      </w:r>
    </w:p>
    <w:p w14:paraId="7D78516F">
      <w:pPr>
        <w:pStyle w:val="13"/>
        <w:keepNext w:val="0"/>
        <w:keepLines w:val="0"/>
        <w:pageBreakBefore w:val="0"/>
        <w:widowControl/>
        <w:kinsoku/>
        <w:wordWrap/>
        <w:overflowPunct/>
        <w:topLinePunct w:val="0"/>
        <w:autoSpaceDE/>
        <w:autoSpaceDN/>
        <w:bidi w:val="0"/>
        <w:adjustRightInd/>
        <w:snapToGrid/>
        <w:spacing w:beforeAutospacing="0" w:afterAutospacing="0" w:line="440" w:lineRule="exact"/>
        <w:ind w:firstLine="480" w:firstLineChars="200"/>
        <w:jc w:val="both"/>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学校深度挖掘巴彦淖尔市及杭锦后旗地方文化资源，以传承地方文化为抓手，构建“研学实践+校园浸润”的文化育人模式，推动地方文化与中华优秀传统文化在校园落地生根。依托杭锦后旗特色资源，组织“青马”学员走进河套酒业、刘光子英雄纪念馆开展研学活动，引导学生探寻地方产业发展脉络，感悟英雄事迹中蕴含的家国情怀；组织学生赴乌兰布和沙漠、西部梦幻大峡谷开展远足研学实践，让学生在行走中感受地域自然景观与文化底蕴的交融之美。同时，邀请全国劳动模范熊守军进校园开展专题讲座，通过劳模的奋斗故事传递工匠精神与本土情怀，以多样化活动推动地方文化在校园内的传承与创新，助力学生厚植家乡情怀。</w:t>
      </w:r>
    </w:p>
    <w:p w14:paraId="527DE954">
      <w:pPr>
        <w:pStyle w:val="13"/>
        <w:keepNext w:val="0"/>
        <w:keepLines w:val="0"/>
        <w:pageBreakBefore w:val="0"/>
        <w:widowControl/>
        <w:kinsoku/>
        <w:wordWrap/>
        <w:overflowPunct/>
        <w:topLinePunct w:val="0"/>
        <w:autoSpaceDE/>
        <w:autoSpaceDN/>
        <w:bidi w:val="0"/>
        <w:adjustRightInd/>
        <w:snapToGrid/>
        <w:spacing w:beforeAutospacing="0" w:afterAutospacing="0" w:line="440" w:lineRule="exact"/>
        <w:ind w:firstLine="562" w:firstLineChars="200"/>
        <w:jc w:val="both"/>
        <w:textAlignment w:val="auto"/>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黑体" w:hAnsi="黑体" w:eastAsia="黑体" w:cs="黑体"/>
          <w:b/>
          <w:bCs/>
          <w:color w:val="000000" w:themeColor="text1"/>
          <w:sz w:val="28"/>
          <w:szCs w:val="28"/>
          <w14:textFill>
            <w14:solidFill>
              <w14:schemeClr w14:val="tx1"/>
            </w14:solidFill>
          </w14:textFill>
        </w:rPr>
        <w:t>3.4</w:t>
      </w:r>
      <w:r>
        <w:rPr>
          <w:rFonts w:hint="eastAsia" w:ascii="黑体" w:hAnsi="黑体" w:eastAsia="黑体" w:cs="黑体"/>
          <w:b/>
          <w:bCs/>
          <w:color w:val="000000" w:themeColor="text1"/>
          <w:sz w:val="28"/>
          <w:szCs w:val="28"/>
          <w:lang w:val="en-US" w:eastAsia="zh-CN"/>
          <w14:textFill>
            <w14:solidFill>
              <w14:schemeClr w14:val="tx1"/>
            </w14:solidFill>
          </w14:textFill>
        </w:rPr>
        <w:t>开展“读书行动”</w:t>
      </w:r>
    </w:p>
    <w:p w14:paraId="01B5BD36">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为深入贯彻落实立德树人根本任务，营造浓厚的书香校园文化氛围，提升师生人文素养与综合能力，</w:t>
      </w:r>
      <w:r>
        <w:rPr>
          <w:rFonts w:hint="eastAsia" w:ascii="宋体" w:hAnsi="宋体" w:eastAsia="宋体" w:cs="宋体"/>
          <w:color w:val="000000" w:themeColor="text1"/>
          <w:sz w:val="24"/>
          <w:szCs w:val="24"/>
          <w:lang w:val="en-US" w:eastAsia="zh-CN"/>
          <w14:textFill>
            <w14:solidFill>
              <w14:schemeClr w14:val="tx1"/>
            </w14:solidFill>
          </w14:textFill>
        </w:rPr>
        <w:t>我校</w:t>
      </w:r>
      <w:r>
        <w:rPr>
          <w:rFonts w:hint="eastAsia" w:ascii="宋体" w:hAnsi="宋体" w:eastAsia="宋体" w:cs="宋体"/>
          <w:color w:val="000000" w:themeColor="text1"/>
          <w:sz w:val="24"/>
          <w:szCs w:val="24"/>
          <w14:textFill>
            <w14:solidFill>
              <w14:schemeClr w14:val="tx1"/>
            </w14:solidFill>
          </w14:textFill>
        </w:rPr>
        <w:t>以“书香润心田，阅读促成长”为主题，组织开展了一系列形式多样、内容丰富、成效显著的阅读推广活动。</w:t>
      </w:r>
    </w:p>
    <w:p w14:paraId="4AB12168">
      <w:pPr>
        <w:pStyle w:val="2"/>
        <w:keepNext w:val="0"/>
        <w:keepLines w:val="0"/>
        <w:pageBreakBefore w:val="0"/>
        <w:widowControl w:val="0"/>
        <w:kinsoku/>
        <w:wordWrap/>
        <w:overflowPunct/>
        <w:topLinePunct w:val="0"/>
        <w:autoSpaceDE/>
        <w:autoSpaceDN/>
        <w:bidi w:val="0"/>
        <w:adjustRightInd/>
        <w:snapToGrid/>
        <w:spacing w:after="0"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成立以分管教学</w:t>
      </w:r>
      <w:r>
        <w:rPr>
          <w:rFonts w:hint="eastAsia" w:ascii="宋体" w:hAnsi="宋体" w:eastAsia="宋体" w:cs="宋体"/>
          <w:color w:val="000000" w:themeColor="text1"/>
          <w:sz w:val="24"/>
          <w:szCs w:val="24"/>
          <w:lang w:val="en-US" w:eastAsia="zh-CN"/>
          <w14:textFill>
            <w14:solidFill>
              <w14:schemeClr w14:val="tx1"/>
            </w14:solidFill>
          </w14:textFill>
        </w:rPr>
        <w:t>校长</w:t>
      </w:r>
      <w:r>
        <w:rPr>
          <w:rFonts w:hint="eastAsia" w:ascii="宋体" w:hAnsi="宋体" w:eastAsia="宋体" w:cs="宋体"/>
          <w:color w:val="000000" w:themeColor="text1"/>
          <w:sz w:val="24"/>
          <w:szCs w:val="24"/>
          <w14:textFill>
            <w14:solidFill>
              <w14:schemeClr w14:val="tx1"/>
            </w14:solidFill>
          </w14:textFill>
        </w:rPr>
        <w:t>为副组长、</w:t>
      </w:r>
      <w:r>
        <w:rPr>
          <w:rFonts w:hint="eastAsia" w:ascii="宋体" w:hAnsi="宋体" w:eastAsia="宋体" w:cs="宋体"/>
          <w:color w:val="000000" w:themeColor="text1"/>
          <w:sz w:val="24"/>
          <w:szCs w:val="24"/>
          <w:lang w:val="en-US" w:eastAsia="zh-CN"/>
          <w14:textFill>
            <w14:solidFill>
              <w14:schemeClr w14:val="tx1"/>
            </w14:solidFill>
          </w14:textFill>
        </w:rPr>
        <w:t>教务处</w:t>
      </w:r>
      <w:r>
        <w:rPr>
          <w:rFonts w:hint="eastAsia" w:ascii="宋体" w:hAnsi="宋体" w:eastAsia="宋体" w:cs="宋体"/>
          <w:color w:val="000000" w:themeColor="text1"/>
          <w:sz w:val="24"/>
          <w:szCs w:val="24"/>
          <w14:textFill>
            <w14:solidFill>
              <w14:schemeClr w14:val="tx1"/>
            </w14:solidFill>
          </w14:textFill>
        </w:rPr>
        <w:t>负责人及语文教研</w:t>
      </w:r>
      <w:r>
        <w:rPr>
          <w:rFonts w:hint="eastAsia" w:ascii="宋体" w:hAnsi="宋体" w:eastAsia="宋体" w:cs="宋体"/>
          <w:color w:val="000000" w:themeColor="text1"/>
          <w:sz w:val="24"/>
          <w:szCs w:val="24"/>
          <w:lang w:val="en-US" w:eastAsia="zh-CN"/>
          <w14:textFill>
            <w14:solidFill>
              <w14:schemeClr w14:val="tx1"/>
            </w14:solidFill>
          </w14:textFill>
        </w:rPr>
        <w:t>室</w:t>
      </w:r>
      <w:r>
        <w:rPr>
          <w:rFonts w:hint="eastAsia" w:ascii="宋体" w:hAnsi="宋体" w:eastAsia="宋体" w:cs="宋体"/>
          <w:color w:val="000000" w:themeColor="text1"/>
          <w:sz w:val="24"/>
          <w:szCs w:val="24"/>
          <w14:textFill>
            <w14:solidFill>
              <w14:schemeClr w14:val="tx1"/>
            </w14:solidFill>
          </w14:textFill>
        </w:rPr>
        <w:t>教师为成员的“读书行动”工作领导小组，明确职责分工，形成“学校统筹、部门协同、师生共读、全员参与”的工作机制。推行“晨诵经典、午读好书、暮省感悟”的阅读模式，培养学生良好的阅读习惯，提升语言表达能力和文化认同感。</w:t>
      </w:r>
    </w:p>
    <w:p w14:paraId="31E4A104">
      <w:pPr>
        <w:pStyle w:val="2"/>
        <w:keepNext w:val="0"/>
        <w:keepLines w:val="0"/>
        <w:pageBreakBefore w:val="0"/>
        <w:widowControl w:val="0"/>
        <w:kinsoku/>
        <w:wordWrap/>
        <w:overflowPunct/>
        <w:topLinePunct w:val="0"/>
        <w:autoSpaceDE/>
        <w:autoSpaceDN/>
        <w:bidi w:val="0"/>
        <w:adjustRightInd/>
        <w:snapToGrid/>
        <w:spacing w:after="0"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开展“书香班级”和“阅读之星”评选，激发学生阅读兴趣，树立阅读典型，发挥榜样引领作用。结合“世界读书日”“职业教育活动周”等重要节点，开展“经典诵读大赛”“</w:t>
      </w:r>
      <w:r>
        <w:rPr>
          <w:rFonts w:hint="eastAsia" w:ascii="宋体" w:hAnsi="宋体" w:eastAsia="宋体" w:cs="宋体"/>
          <w:color w:val="000000" w:themeColor="text1"/>
          <w:sz w:val="24"/>
          <w:szCs w:val="24"/>
          <w:lang w:val="en-US" w:eastAsia="zh-CN"/>
          <w14:textFill>
            <w14:solidFill>
              <w14:schemeClr w14:val="tx1"/>
            </w14:solidFill>
          </w14:textFill>
        </w:rPr>
        <w:t>读书汇报</w:t>
      </w:r>
      <w:r>
        <w:rPr>
          <w:rFonts w:hint="eastAsia" w:ascii="宋体" w:hAnsi="宋体" w:eastAsia="宋体" w:cs="宋体"/>
          <w:color w:val="000000" w:themeColor="text1"/>
          <w:sz w:val="24"/>
          <w:szCs w:val="24"/>
          <w14:textFill>
            <w14:solidFill>
              <w14:schemeClr w14:val="tx1"/>
            </w14:solidFill>
          </w14:textFill>
        </w:rPr>
        <w:t>”等特色活动，增强阅读的趣味性与参与度。将“读书行动”与专业教学、职业素养培育深度融合</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引导学生在阅读中感悟职业精神，树立“技能成才、强国有我”的理想信念。</w:t>
      </w:r>
    </w:p>
    <w:p w14:paraId="673D9CB1">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通过一年的持续推进，“读书行动”取得显著成效</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学生人均年阅读量较上年提升30%；学生语言表达能力、写作水平明显提高；教师阅读参与率达100%，校园书香氛围日益浓厚，文明素养与精神风貌持续提升。</w:t>
      </w:r>
    </w:p>
    <w:p w14:paraId="4FC922D0">
      <w:pPr>
        <w:pStyle w:val="13"/>
        <w:keepNext w:val="0"/>
        <w:keepLines w:val="0"/>
        <w:pageBreakBefore w:val="0"/>
        <w:widowControl/>
        <w:shd w:val="clear" w:color="auto" w:fill="FFFFFF"/>
        <w:kinsoku/>
        <w:wordWrap/>
        <w:overflowPunct/>
        <w:topLinePunct w:val="0"/>
        <w:autoSpaceDE/>
        <w:autoSpaceDN/>
        <w:bidi w:val="0"/>
        <w:adjustRightInd/>
        <w:snapToGrid/>
        <w:spacing w:beforeAutospacing="0" w:afterAutospacing="0" w:line="440" w:lineRule="exact"/>
        <w:ind w:firstLine="562" w:firstLineChars="200"/>
        <w:jc w:val="both"/>
        <w:textAlignment w:val="auto"/>
        <w:rPr>
          <w:rFonts w:hint="eastAsia" w:ascii="黑体" w:hAnsi="黑体" w:eastAsia="黑体" w:cs="黑体"/>
          <w:b/>
          <w:bCs w:val="0"/>
          <w:color w:val="000000" w:themeColor="text1"/>
          <w:sz w:val="28"/>
          <w:szCs w:val="28"/>
          <w:lang w:val="en-US" w:eastAsia="zh-CN"/>
          <w14:textFill>
            <w14:solidFill>
              <w14:schemeClr w14:val="tx1"/>
            </w14:solidFill>
          </w14:textFill>
        </w:rPr>
      </w:pPr>
      <w:r>
        <w:rPr>
          <w:rFonts w:hint="eastAsia" w:ascii="黑体" w:hAnsi="黑体" w:eastAsia="黑体" w:cs="黑体"/>
          <w:b/>
          <w:bCs w:val="0"/>
          <w:color w:val="000000" w:themeColor="text1"/>
          <w:sz w:val="28"/>
          <w:szCs w:val="28"/>
          <w14:textFill>
            <w14:solidFill>
              <w14:schemeClr w14:val="tx1"/>
            </w14:solidFill>
          </w14:textFill>
        </w:rPr>
        <w:t>3.5</w:t>
      </w:r>
      <w:r>
        <w:rPr>
          <w:rFonts w:hint="eastAsia" w:ascii="黑体" w:hAnsi="黑体" w:eastAsia="黑体" w:cs="黑体"/>
          <w:b/>
          <w:bCs w:val="0"/>
          <w:color w:val="000000" w:themeColor="text1"/>
          <w:sz w:val="28"/>
          <w:szCs w:val="28"/>
          <w:lang w:val="en-US" w:eastAsia="zh-CN"/>
          <w14:textFill>
            <w14:solidFill>
              <w14:schemeClr w14:val="tx1"/>
            </w14:solidFill>
          </w14:textFill>
        </w:rPr>
        <w:t>打造书香校园其他文化传承方面特色工作</w:t>
      </w:r>
    </w:p>
    <w:p w14:paraId="17CF6E35">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为深入贯彻落实立德树人根本</w:t>
      </w:r>
      <w:r>
        <w:rPr>
          <w:rFonts w:hint="eastAsia" w:ascii="宋体" w:hAnsi="宋体" w:eastAsia="宋体" w:cs="宋体"/>
          <w:color w:val="auto"/>
          <w:sz w:val="24"/>
          <w:szCs w:val="24"/>
        </w:rPr>
        <w:t>任务，我校以“让阅读成为习惯，让书香溢满校园，让文化幸福生活”为</w:t>
      </w:r>
      <w:r>
        <w:rPr>
          <w:rFonts w:hint="eastAsia" w:ascii="宋体" w:hAnsi="宋体" w:eastAsia="宋体" w:cs="宋体"/>
          <w:color w:val="auto"/>
          <w:sz w:val="24"/>
          <w:szCs w:val="24"/>
          <w:lang w:eastAsia="zh-CN"/>
        </w:rPr>
        <w:t>指导思想</w:t>
      </w:r>
      <w:r>
        <w:rPr>
          <w:rFonts w:hint="eastAsia" w:ascii="宋体" w:hAnsi="宋体" w:eastAsia="宋体" w:cs="宋体"/>
          <w:color w:val="auto"/>
          <w:sz w:val="24"/>
          <w:szCs w:val="24"/>
        </w:rPr>
        <w:t>，持续推进“书香校园”工程</w:t>
      </w:r>
      <w:r>
        <w:rPr>
          <w:rFonts w:hint="eastAsia" w:ascii="宋体" w:hAnsi="宋体" w:eastAsia="宋体" w:cs="宋体"/>
          <w:color w:val="000000" w:themeColor="text1"/>
          <w:sz w:val="24"/>
          <w:szCs w:val="24"/>
          <w14:textFill>
            <w14:solidFill>
              <w14:schemeClr w14:val="tx1"/>
            </w14:solidFill>
          </w14:textFill>
        </w:rPr>
        <w:t>建设。</w:t>
      </w:r>
    </w:p>
    <w:p w14:paraId="7A7EA648">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（一）优化阅读环境，打造立体化书香空间</w:t>
      </w:r>
    </w:p>
    <w:p w14:paraId="13F93B16">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本年度新增图书</w:t>
      </w:r>
      <w:r>
        <w:rPr>
          <w:rFonts w:hint="eastAsia" w:ascii="宋体" w:hAnsi="宋体" w:eastAsia="宋体" w:cs="宋体"/>
          <w:color w:val="000000" w:themeColor="text1"/>
          <w:sz w:val="24"/>
          <w:szCs w:val="24"/>
          <w:lang w:val="en-US" w:eastAsia="zh-CN"/>
          <w14:textFill>
            <w14:solidFill>
              <w14:schemeClr w14:val="tx1"/>
            </w14:solidFill>
          </w14:textFill>
        </w:rPr>
        <w:t>27000多</w:t>
      </w:r>
      <w:r>
        <w:rPr>
          <w:rFonts w:hint="eastAsia" w:ascii="宋体" w:hAnsi="宋体" w:eastAsia="宋体" w:cs="宋体"/>
          <w:color w:val="000000" w:themeColor="text1"/>
          <w:sz w:val="24"/>
          <w:szCs w:val="24"/>
          <w14:textFill>
            <w14:solidFill>
              <w14:schemeClr w14:val="tx1"/>
            </w14:solidFill>
          </w14:textFill>
        </w:rPr>
        <w:t>册，生均图书达</w:t>
      </w:r>
      <w:r>
        <w:rPr>
          <w:rFonts w:hint="eastAsia" w:ascii="宋体" w:hAnsi="宋体" w:eastAsia="宋体" w:cs="宋体"/>
          <w:color w:val="000000" w:themeColor="text1"/>
          <w:sz w:val="24"/>
          <w:szCs w:val="24"/>
          <w:lang w:val="en-US" w:eastAsia="zh-CN"/>
          <w14:textFill>
            <w14:solidFill>
              <w14:schemeClr w14:val="tx1"/>
            </w14:solidFill>
          </w14:textFill>
        </w:rPr>
        <w:t>42.4</w:t>
      </w:r>
      <w:r>
        <w:rPr>
          <w:rFonts w:hint="eastAsia" w:ascii="宋体" w:hAnsi="宋体" w:eastAsia="宋体" w:cs="宋体"/>
          <w:color w:val="000000" w:themeColor="text1"/>
          <w:sz w:val="24"/>
          <w:szCs w:val="24"/>
          <w14:textFill>
            <w14:solidFill>
              <w14:schemeClr w14:val="tx1"/>
            </w14:solidFill>
          </w14:textFill>
        </w:rPr>
        <w:t>册，图书室藏书总量达</w:t>
      </w:r>
      <w:r>
        <w:rPr>
          <w:rFonts w:hint="eastAsia" w:ascii="宋体" w:hAnsi="宋体" w:eastAsia="宋体" w:cs="宋体"/>
          <w:color w:val="000000" w:themeColor="text1"/>
          <w:sz w:val="24"/>
          <w:szCs w:val="24"/>
          <w:lang w:val="en-US" w:eastAsia="zh-CN"/>
          <w14:textFill>
            <w14:solidFill>
              <w14:schemeClr w14:val="tx1"/>
            </w14:solidFill>
          </w14:textFill>
        </w:rPr>
        <w:t>95239</w:t>
      </w:r>
      <w:r>
        <w:rPr>
          <w:rFonts w:hint="eastAsia" w:ascii="宋体" w:hAnsi="宋体" w:eastAsia="宋体" w:cs="宋体"/>
          <w:color w:val="000000" w:themeColor="text1"/>
          <w:sz w:val="24"/>
          <w:szCs w:val="24"/>
          <w14:textFill>
            <w14:solidFill>
              <w14:schemeClr w14:val="tx1"/>
            </w14:solidFill>
          </w14:textFill>
        </w:rPr>
        <w:t>册，涵盖文学、历史、哲学、职业技能、心理健康等多类书籍。设立“书吧”“阅读角”“班级图书角”等微型阅读空间</w:t>
      </w:r>
      <w:r>
        <w:rPr>
          <w:rFonts w:hint="eastAsia" w:ascii="宋体" w:hAnsi="宋体" w:eastAsia="宋体" w:cs="宋体"/>
          <w:color w:val="000000" w:themeColor="text1"/>
          <w:sz w:val="24"/>
          <w:szCs w:val="24"/>
          <w:lang w:val="en-US" w:eastAsia="zh-CN"/>
          <w14:textFill>
            <w14:solidFill>
              <w14:schemeClr w14:val="tx1"/>
            </w14:solidFill>
          </w14:textFill>
        </w:rPr>
        <w:t>60</w:t>
      </w:r>
      <w:r>
        <w:rPr>
          <w:rFonts w:hint="eastAsia" w:ascii="宋体" w:hAnsi="宋体" w:eastAsia="宋体" w:cs="宋体"/>
          <w:color w:val="000000" w:themeColor="text1"/>
          <w:sz w:val="24"/>
          <w:szCs w:val="24"/>
          <w14:textFill>
            <w14:solidFill>
              <w14:schemeClr w14:val="tx1"/>
            </w14:solidFill>
          </w14:textFill>
        </w:rPr>
        <w:t>个，覆盖教学楼、实训楼等区域。</w:t>
      </w:r>
    </w:p>
    <w:p w14:paraId="6BF874E9">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开通校园电子阅读平台，接入优质数字资源库，支持学生通过手机端、平板端随时阅读。</w:t>
      </w:r>
    </w:p>
    <w:p w14:paraId="499F36D1">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（二）完善制度建设，保障阅读常态开展</w:t>
      </w:r>
    </w:p>
    <w:p w14:paraId="0C535FEA">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将“晨诵、午读、暮省”纳入日常教学管理，</w:t>
      </w:r>
      <w:r>
        <w:rPr>
          <w:rFonts w:hint="eastAsia" w:ascii="宋体" w:hAnsi="宋体" w:eastAsia="宋体" w:cs="宋体"/>
          <w:color w:val="000000" w:themeColor="text1"/>
          <w:sz w:val="24"/>
          <w:szCs w:val="24"/>
          <w:lang w:val="en-US" w:eastAsia="zh-CN"/>
          <w14:textFill>
            <w14:solidFill>
              <w14:schemeClr w14:val="tx1"/>
            </w14:solidFill>
          </w14:textFill>
        </w:rPr>
        <w:t>开设读书课，</w:t>
      </w:r>
      <w:r>
        <w:rPr>
          <w:rFonts w:hint="eastAsia" w:ascii="宋体" w:hAnsi="宋体" w:eastAsia="宋体" w:cs="宋体"/>
          <w:color w:val="000000" w:themeColor="text1"/>
          <w:sz w:val="24"/>
          <w:szCs w:val="24"/>
          <w14:textFill>
            <w14:solidFill>
              <w14:schemeClr w14:val="tx1"/>
            </w14:solidFill>
          </w14:textFill>
        </w:rPr>
        <w:t>每天保证30分钟集中阅读时间。制定《书香班级评比办法》《读书之星评选标准》等文件，落实专人管理，确保图书流通高效、使用有序。</w:t>
      </w:r>
    </w:p>
    <w:p w14:paraId="302BEBE2">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实施“教师读书成长计划”，每位教师每学期至少阅读2本教育专著、1本文学经典，撰写读书笔记与随笔，纳入继续教育考核。</w:t>
      </w:r>
    </w:p>
    <w:p w14:paraId="2FC0C7BF">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（三）创新活动载体，激发阅读内生动力</w:t>
      </w:r>
    </w:p>
    <w:p w14:paraId="6C352010">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举办“校园读书节”系列活动，包括“</w:t>
      </w:r>
      <w:r>
        <w:rPr>
          <w:rFonts w:hint="eastAsia" w:ascii="宋体" w:hAnsi="宋体" w:eastAsia="宋体" w:cs="宋体"/>
          <w:color w:val="000000" w:themeColor="text1"/>
          <w:sz w:val="24"/>
          <w:szCs w:val="24"/>
          <w:lang w:val="en-US" w:eastAsia="zh-CN"/>
          <w14:textFill>
            <w14:solidFill>
              <w14:schemeClr w14:val="tx1"/>
            </w14:solidFill>
          </w14:textFill>
        </w:rPr>
        <w:t>经典诵读</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读书笔记展评</w:t>
      </w:r>
      <w:r>
        <w:rPr>
          <w:rFonts w:hint="eastAsia" w:ascii="宋体" w:hAnsi="宋体" w:eastAsia="宋体" w:cs="宋体"/>
          <w:color w:val="000000" w:themeColor="text1"/>
          <w:sz w:val="24"/>
          <w:szCs w:val="24"/>
          <w14:textFill>
            <w14:solidFill>
              <w14:schemeClr w14:val="tx1"/>
            </w14:solidFill>
          </w14:textFill>
        </w:rPr>
        <w:t>”“手抄报比赛”“读书心得交流会”等</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利用校报、校园广播、微信公众号等平台展示优秀读书成果，全年刊发学生作品</w:t>
      </w:r>
      <w:r>
        <w:rPr>
          <w:rFonts w:hint="eastAsia" w:ascii="宋体" w:hAnsi="宋体" w:eastAsia="宋体" w:cs="宋体"/>
          <w:color w:val="000000" w:themeColor="text1"/>
          <w:sz w:val="24"/>
          <w:szCs w:val="24"/>
          <w:lang w:val="en-US" w:eastAsia="zh-CN"/>
          <w14:textFill>
            <w14:solidFill>
              <w14:schemeClr w14:val="tx1"/>
            </w14:solidFill>
          </w14:textFill>
        </w:rPr>
        <w:t>60余</w:t>
      </w:r>
      <w:r>
        <w:rPr>
          <w:rFonts w:hint="eastAsia" w:ascii="宋体" w:hAnsi="宋体" w:eastAsia="宋体" w:cs="宋体"/>
          <w:color w:val="000000" w:themeColor="text1"/>
          <w:sz w:val="24"/>
          <w:szCs w:val="24"/>
          <w14:textFill>
            <w14:solidFill>
              <w14:schemeClr w14:val="tx1"/>
            </w14:solidFill>
          </w14:textFill>
        </w:rPr>
        <w:t>篇。</w:t>
      </w:r>
    </w:p>
    <w:p w14:paraId="013D9E8F">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四</w:t>
      </w: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14:textFill>
            <w14:solidFill>
              <w14:schemeClr w14:val="tx1"/>
            </w14:solidFill>
          </w14:textFill>
        </w:rPr>
        <w:t>建设成效与育人成果</w:t>
      </w:r>
    </w:p>
    <w:p w14:paraId="1BC442EB">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学生</w:t>
      </w:r>
      <w:r>
        <w:rPr>
          <w:rFonts w:hint="eastAsia" w:ascii="宋体" w:hAnsi="宋体" w:eastAsia="宋体" w:cs="宋体"/>
          <w:color w:val="000000" w:themeColor="text1"/>
          <w:sz w:val="24"/>
          <w:szCs w:val="24"/>
          <w14:textFill>
            <w14:solidFill>
              <w14:schemeClr w14:val="tx1"/>
            </w14:solidFill>
          </w14:textFill>
        </w:rPr>
        <w:t>阅读兴趣显著提升，课外阅读量较上学年增长</w:t>
      </w:r>
      <w:r>
        <w:rPr>
          <w:rFonts w:hint="eastAsia" w:ascii="宋体" w:hAnsi="宋体" w:eastAsia="宋体" w:cs="宋体"/>
          <w:color w:val="000000" w:themeColor="text1"/>
          <w:sz w:val="24"/>
          <w:szCs w:val="24"/>
          <w:lang w:val="en-US" w:eastAsia="zh-CN"/>
          <w14:textFill>
            <w14:solidFill>
              <w14:schemeClr w14:val="tx1"/>
            </w14:solidFill>
          </w14:textFill>
        </w:rPr>
        <w:t>30</w:t>
      </w:r>
      <w:r>
        <w:rPr>
          <w:rFonts w:hint="eastAsia" w:ascii="宋体" w:hAnsi="宋体" w:eastAsia="宋体" w:cs="宋体"/>
          <w:color w:val="000000" w:themeColor="text1"/>
          <w:sz w:val="24"/>
          <w:szCs w:val="24"/>
          <w14:textFill>
            <w14:solidFill>
              <w14:schemeClr w14:val="tx1"/>
            </w14:solidFill>
          </w14:textFill>
        </w:rPr>
        <w:t>%；语言表达、写作能力明显增强；行为习惯改善，班级文化氛围</w:t>
      </w:r>
      <w:r>
        <w:rPr>
          <w:rFonts w:hint="eastAsia" w:ascii="宋体" w:hAnsi="宋体" w:eastAsia="宋体" w:cs="宋体"/>
          <w:color w:val="000000" w:themeColor="text1"/>
          <w:sz w:val="24"/>
          <w:szCs w:val="24"/>
          <w:lang w:eastAsia="zh-CN"/>
          <w14:textFill>
            <w14:solidFill>
              <w14:schemeClr w14:val="tx1"/>
            </w14:solidFill>
          </w14:textFill>
        </w:rPr>
        <w:t>更加</w:t>
      </w:r>
      <w:r>
        <w:rPr>
          <w:rFonts w:hint="eastAsia" w:ascii="宋体" w:hAnsi="宋体" w:eastAsia="宋体" w:cs="宋体"/>
          <w:color w:val="000000" w:themeColor="text1"/>
          <w:sz w:val="24"/>
          <w:szCs w:val="24"/>
          <w14:textFill>
            <w14:solidFill>
              <w14:schemeClr w14:val="tx1"/>
            </w14:solidFill>
          </w14:textFill>
        </w:rPr>
        <w:t>积极向上。</w:t>
      </w:r>
    </w:p>
    <w:p w14:paraId="24A866E6">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教师读书参与率达100%，撰写读书笔记人均</w:t>
      </w:r>
      <w:r>
        <w:rPr>
          <w:rFonts w:hint="eastAsia" w:ascii="宋体" w:hAnsi="宋体" w:eastAsia="宋体" w:cs="宋体"/>
          <w:color w:val="000000" w:themeColor="text1"/>
          <w:sz w:val="24"/>
          <w:szCs w:val="24"/>
          <w:lang w:val="en-US" w:eastAsia="zh-CN"/>
          <w14:textFill>
            <w14:solidFill>
              <w14:schemeClr w14:val="tx1"/>
            </w14:solidFill>
          </w14:textFill>
        </w:rPr>
        <w:t>10000字</w:t>
      </w:r>
      <w:r>
        <w:rPr>
          <w:rFonts w:hint="eastAsia" w:ascii="宋体" w:hAnsi="宋体" w:eastAsia="宋体" w:cs="宋体"/>
          <w:color w:val="000000" w:themeColor="text1"/>
          <w:sz w:val="24"/>
          <w:szCs w:val="24"/>
          <w14:textFill>
            <w14:solidFill>
              <w14:schemeClr w14:val="tx1"/>
            </w14:solidFill>
          </w14:textFill>
        </w:rPr>
        <w:t>；教育理念转变，更多教师重视“以文化人、以读育人”。</w:t>
      </w:r>
    </w:p>
    <w:p w14:paraId="3E9A53DE">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“书香校园”成为学校特色品牌，学校文化内涵不断提升，形成“爱读书、读好书、善读书”的良好风尚。</w:t>
      </w:r>
    </w:p>
    <w:p w14:paraId="1BA2F295">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0" w:firstLineChars="0"/>
        <w:textAlignment w:val="auto"/>
        <w:rPr>
          <w:rFonts w:hint="eastAsia" w:ascii="黑体" w:hAnsi="黑体" w:eastAsia="黑体" w:cs="黑体"/>
          <w:b/>
          <w:bCs/>
          <w:color w:val="000000" w:themeColor="text1"/>
          <w:sz w:val="30"/>
          <w:szCs w:val="30"/>
          <w:lang w:val="en-US" w:eastAsia="zh-CN"/>
          <w14:textFill>
            <w14:solidFill>
              <w14:schemeClr w14:val="tx1"/>
            </w14:solidFill>
          </w14:textFill>
        </w:rPr>
      </w:pPr>
    </w:p>
    <w:p w14:paraId="4676ACD1">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0" w:firstLineChars="0"/>
        <w:textAlignment w:val="auto"/>
        <w:rPr>
          <w:rFonts w:hint="eastAsia" w:ascii="黑体" w:hAnsi="黑体" w:eastAsia="黑体" w:cs="黑体"/>
          <w:b/>
          <w:bCs/>
          <w:color w:val="000000" w:themeColor="text1"/>
          <w:sz w:val="30"/>
          <w:szCs w:val="30"/>
          <w:lang w:val="en-US" w:eastAsia="zh-CN"/>
          <w14:textFill>
            <w14:solidFill>
              <w14:schemeClr w14:val="tx1"/>
            </w14:solidFill>
          </w14:textFill>
        </w:rPr>
      </w:pPr>
      <w:r>
        <w:rPr>
          <w:rFonts w:hint="eastAsia" w:ascii="黑体" w:hAnsi="黑体" w:eastAsia="黑体" w:cs="黑体"/>
          <w:b/>
          <w:bCs/>
          <w:color w:val="000000" w:themeColor="text1"/>
          <w:sz w:val="30"/>
          <w:szCs w:val="30"/>
          <w:lang w:val="en-US" w:eastAsia="zh-CN"/>
          <w14:textFill>
            <w14:solidFill>
              <w14:schemeClr w14:val="tx1"/>
            </w14:solidFill>
          </w14:textFill>
        </w:rPr>
        <w:t xml:space="preserve">案例3-1          </w:t>
      </w:r>
    </w:p>
    <w:p w14:paraId="66D5CFF0">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0" w:firstLineChars="0"/>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b/>
          <w:bCs/>
          <w:color w:val="000000" w:themeColor="text1"/>
          <w:sz w:val="30"/>
          <w:szCs w:val="30"/>
          <w:lang w:val="en-US" w:eastAsia="zh-CN"/>
          <w14:textFill>
            <w14:solidFill>
              <w14:schemeClr w14:val="tx1"/>
            </w14:solidFill>
          </w14:textFill>
        </w:rPr>
        <w:t>书香润心田，阅读促成长</w:t>
      </w:r>
    </w:p>
    <w:p w14:paraId="6BB16211">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杭锦后旗职业教育中心开展“书香润心田，阅读促成长”主题读书活动，旨在营造浓厚的校园阅读氛围，提升学生人文素养与综合能力。</w:t>
      </w:r>
    </w:p>
    <w:p w14:paraId="5BA578DD">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活动以班级为单位，设立“班级图书角”，每周开设1节读书课，开展“读书汇报会”，分享感悟。学校开放图书馆，设置开放书吧，鼓励学生广泛阅读。同时，组织“经典诵读”比赛和读书笔记展评，激发阅读兴趣。</w:t>
      </w:r>
    </w:p>
    <w:p w14:paraId="072FFA08">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活动中，学生积极参与，从《平凡的世界》中感悟奋斗力量，从《乡土中国》里体会传统文化。许多学生表示，阅读拓宽了视野，增强了表达能力。</w:t>
      </w:r>
    </w:p>
    <w:p w14:paraId="71FFE83D">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读书活动实现了“以读启智、以文化人”的目标，为构建书香校园奠定坚实基础。</w:t>
      </w:r>
    </w:p>
    <w:p w14:paraId="38DB77AB">
      <w:pPr>
        <w:pStyle w:val="4"/>
        <w:rPr>
          <w:rFonts w:hint="eastAsia" w:ascii="仿宋" w:hAnsi="仿宋" w:eastAsia="仿宋" w:cs="仿宋"/>
          <w:color w:val="000000" w:themeColor="text1"/>
          <w:sz w:val="24"/>
          <w:szCs w:val="24"/>
          <w:lang w:val="en-US" w:eastAsia="zh-CN"/>
          <w14:textFill>
            <w14:solidFill>
              <w14:schemeClr w14:val="tx1"/>
            </w14:solidFill>
          </w14:textFill>
        </w:rPr>
      </w:pPr>
    </w:p>
    <w:p w14:paraId="42185B25">
      <w:pPr>
        <w:pStyle w:val="4"/>
        <w:rPr>
          <w:rFonts w:hint="eastAsia" w:ascii="仿宋" w:hAnsi="仿宋" w:eastAsia="仿宋" w:cs="仿宋"/>
          <w:color w:val="000000" w:themeColor="text1"/>
          <w:sz w:val="24"/>
          <w:szCs w:val="24"/>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5648" behindDoc="0" locked="0" layoutInCell="1" allowOverlap="1">
            <wp:simplePos x="0" y="0"/>
            <wp:positionH relativeFrom="column">
              <wp:posOffset>653415</wp:posOffset>
            </wp:positionH>
            <wp:positionV relativeFrom="paragraph">
              <wp:posOffset>-135255</wp:posOffset>
            </wp:positionV>
            <wp:extent cx="4500245" cy="2496820"/>
            <wp:effectExtent l="0" t="0" r="14605" b="17780"/>
            <wp:wrapNone/>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24"/>
                    <a:srcRect l="1920" t="6652" r="1920" b="6652"/>
                    <a:stretch>
                      <a:fillRect/>
                    </a:stretch>
                  </pic:blipFill>
                  <pic:spPr>
                    <a:xfrm>
                      <a:off x="0" y="0"/>
                      <a:ext cx="4500245" cy="2496820"/>
                    </a:xfrm>
                    <a:prstGeom prst="rect">
                      <a:avLst/>
                    </a:prstGeom>
                    <a:noFill/>
                    <a:ln>
                      <a:noFill/>
                    </a:ln>
                  </pic:spPr>
                </pic:pic>
              </a:graphicData>
            </a:graphic>
          </wp:anchor>
        </w:drawing>
      </w:r>
    </w:p>
    <w:p w14:paraId="69191D2C">
      <w:pPr>
        <w:pStyle w:val="4"/>
        <w:rPr>
          <w:rFonts w:hint="eastAsia" w:ascii="仿宋" w:hAnsi="仿宋" w:eastAsia="仿宋" w:cs="仿宋"/>
          <w:color w:val="000000" w:themeColor="text1"/>
          <w:sz w:val="24"/>
          <w:szCs w:val="24"/>
          <w:lang w:val="en-US" w:eastAsia="zh-CN"/>
          <w14:textFill>
            <w14:solidFill>
              <w14:schemeClr w14:val="tx1"/>
            </w14:solidFill>
          </w14:textFill>
        </w:rPr>
      </w:pPr>
    </w:p>
    <w:p w14:paraId="71E72958">
      <w:pPr>
        <w:pStyle w:val="4"/>
        <w:rPr>
          <w:rFonts w:hint="eastAsia" w:ascii="仿宋" w:hAnsi="仿宋" w:eastAsia="仿宋" w:cs="仿宋"/>
          <w:color w:val="000000" w:themeColor="text1"/>
          <w:sz w:val="24"/>
          <w:szCs w:val="24"/>
          <w:lang w:val="en-US" w:eastAsia="zh-CN"/>
          <w14:textFill>
            <w14:solidFill>
              <w14:schemeClr w14:val="tx1"/>
            </w14:solidFill>
          </w14:textFill>
        </w:rPr>
      </w:pPr>
    </w:p>
    <w:p w14:paraId="462B5D72">
      <w:pPr>
        <w:pStyle w:val="4"/>
        <w:rPr>
          <w:rFonts w:hint="eastAsia" w:ascii="仿宋" w:hAnsi="仿宋" w:eastAsia="仿宋" w:cs="仿宋"/>
          <w:color w:val="000000" w:themeColor="text1"/>
          <w:sz w:val="24"/>
          <w:szCs w:val="24"/>
          <w:lang w:val="en-US" w:eastAsia="zh-CN"/>
          <w14:textFill>
            <w14:solidFill>
              <w14:schemeClr w14:val="tx1"/>
            </w14:solidFill>
          </w14:textFill>
        </w:rPr>
      </w:pPr>
    </w:p>
    <w:p w14:paraId="786630C1">
      <w:pPr>
        <w:pStyle w:val="4"/>
        <w:jc w:val="center"/>
        <w:rPr>
          <w:rFonts w:hint="eastAsia" w:ascii="仿宋" w:hAnsi="仿宋" w:eastAsia="仿宋" w:cs="仿宋"/>
          <w:color w:val="000000" w:themeColor="text1"/>
          <w:sz w:val="24"/>
          <w:szCs w:val="24"/>
          <w:lang w:val="en-US" w:eastAsia="zh-CN"/>
          <w14:textFill>
            <w14:solidFill>
              <w14:schemeClr w14:val="tx1"/>
            </w14:solidFill>
          </w14:textFill>
        </w:rPr>
      </w:pPr>
    </w:p>
    <w:p w14:paraId="13140076">
      <w:pPr>
        <w:pStyle w:val="4"/>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仿宋" w:hAnsi="仿宋" w:eastAsia="仿宋" w:cs="仿宋"/>
          <w:b/>
          <w:bCs/>
          <w:color w:val="000000" w:themeColor="text1"/>
          <w:sz w:val="24"/>
          <w:szCs w:val="24"/>
          <w:lang w:val="en-US"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图3-1 读书汇报课</w:t>
      </w:r>
    </w:p>
    <w:p w14:paraId="5F9B2A2D">
      <w:pPr>
        <w:pStyle w:val="4"/>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color w:val="000000" w:themeColor="text1"/>
          <w:sz w:val="24"/>
          <w:szCs w:val="24"/>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6672" behindDoc="0" locked="0" layoutInCell="1" allowOverlap="1">
            <wp:simplePos x="0" y="0"/>
            <wp:positionH relativeFrom="column">
              <wp:posOffset>608330</wp:posOffset>
            </wp:positionH>
            <wp:positionV relativeFrom="paragraph">
              <wp:posOffset>100330</wp:posOffset>
            </wp:positionV>
            <wp:extent cx="4777740" cy="2704465"/>
            <wp:effectExtent l="0" t="0" r="3810" b="635"/>
            <wp:wrapNone/>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25"/>
                    <a:srcRect l="-1044" t="3047" r="-1044" b="3047"/>
                    <a:stretch>
                      <a:fillRect/>
                    </a:stretch>
                  </pic:blipFill>
                  <pic:spPr>
                    <a:xfrm>
                      <a:off x="0" y="0"/>
                      <a:ext cx="4777740" cy="2704465"/>
                    </a:xfrm>
                    <a:prstGeom prst="rect">
                      <a:avLst/>
                    </a:prstGeom>
                    <a:noFill/>
                    <a:ln>
                      <a:noFill/>
                    </a:ln>
                  </pic:spPr>
                </pic:pic>
              </a:graphicData>
            </a:graphic>
          </wp:anchor>
        </w:drawing>
      </w:r>
    </w:p>
    <w:p w14:paraId="62BA89AF">
      <w:pPr>
        <w:pStyle w:val="4"/>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7D7C80D1">
      <w:pPr>
        <w:pStyle w:val="4"/>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p>
    <w:p w14:paraId="7343CDB0">
      <w:pPr>
        <w:pStyle w:val="4"/>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p>
    <w:p w14:paraId="36406C67">
      <w:pPr>
        <w:pStyle w:val="4"/>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p>
    <w:p w14:paraId="4741AB66">
      <w:pPr>
        <w:pStyle w:val="4"/>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p w14:paraId="3F63F701">
      <w:pPr>
        <w:pStyle w:val="4"/>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p w14:paraId="6D7BA455">
      <w:pPr>
        <w:pStyle w:val="4"/>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p>
    <w:p w14:paraId="1BA79399">
      <w:pPr>
        <w:pStyle w:val="4"/>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图3-2  读书课</w:t>
      </w:r>
    </w:p>
    <w:p w14:paraId="1973D6C3">
      <w:pPr>
        <w:pStyle w:val="6"/>
        <w:pageBreakBefore w:val="0"/>
        <w:widowControl w:val="0"/>
        <w:kinsoku/>
        <w:wordWrap/>
        <w:overflowPunct/>
        <w:topLinePunct w:val="0"/>
        <w:autoSpaceDE/>
        <w:autoSpaceDN/>
        <w:bidi w:val="0"/>
        <w:adjustRightInd/>
        <w:snapToGrid/>
        <w:spacing w:before="0" w:after="0" w:line="440" w:lineRule="exact"/>
        <w:jc w:val="both"/>
        <w:textAlignment w:val="auto"/>
        <w:rPr>
          <w:rFonts w:hint="eastAsia" w:ascii="黑体" w:hAnsi="黑体" w:cs="黑体"/>
          <w:b/>
          <w:bCs/>
          <w:color w:val="000000" w:themeColor="text1"/>
          <w:sz w:val="30"/>
          <w:szCs w:val="30"/>
          <w:lang w:val="en-US" w:eastAsia="zh-CN"/>
          <w14:textFill>
            <w14:solidFill>
              <w14:schemeClr w14:val="tx1"/>
            </w14:solidFill>
          </w14:textFill>
        </w:rPr>
      </w:pPr>
      <w:r>
        <w:rPr>
          <w:rFonts w:hint="eastAsia" w:ascii="黑体" w:hAnsi="黑体" w:eastAsia="黑体" w:cs="黑体"/>
          <w:b/>
          <w:bCs/>
          <w:color w:val="000000" w:themeColor="text1"/>
          <w:sz w:val="30"/>
          <w:szCs w:val="30"/>
          <w:lang w:val="en-US" w:eastAsia="zh-CN"/>
          <w14:textFill>
            <w14:solidFill>
              <w14:schemeClr w14:val="tx1"/>
            </w14:solidFill>
          </w14:textFill>
        </w:rPr>
        <w:t>案例3-</w:t>
      </w:r>
      <w:r>
        <w:rPr>
          <w:rFonts w:hint="eastAsia" w:ascii="黑体" w:hAnsi="黑体" w:cs="黑体"/>
          <w:b/>
          <w:bCs/>
          <w:color w:val="000000" w:themeColor="text1"/>
          <w:sz w:val="30"/>
          <w:szCs w:val="30"/>
          <w:lang w:val="en-US" w:eastAsia="zh-CN"/>
          <w14:textFill>
            <w14:solidFill>
              <w14:schemeClr w14:val="tx1"/>
            </w14:solidFill>
          </w14:textFill>
        </w:rPr>
        <w:t xml:space="preserve">2       </w:t>
      </w:r>
    </w:p>
    <w:p w14:paraId="298C4D7A">
      <w:pPr>
        <w:pStyle w:val="6"/>
        <w:pageBreakBefore w:val="0"/>
        <w:widowControl w:val="0"/>
        <w:kinsoku/>
        <w:wordWrap/>
        <w:overflowPunct/>
        <w:topLinePunct w:val="0"/>
        <w:autoSpaceDE/>
        <w:autoSpaceDN/>
        <w:bidi w:val="0"/>
        <w:adjustRightInd/>
        <w:snapToGrid/>
        <w:spacing w:before="0" w:after="0" w:line="440" w:lineRule="exact"/>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仿宋" w:hAnsi="仿宋" w:eastAsia="仿宋" w:cs="仿宋"/>
          <w:b/>
          <w:bCs/>
          <w:color w:val="000000" w:themeColor="text1"/>
          <w:sz w:val="30"/>
          <w:szCs w:val="30"/>
          <w14:textFill>
            <w14:solidFill>
              <w14:schemeClr w14:val="tx1"/>
            </w14:solidFill>
          </w14:textFill>
        </w:rPr>
        <w:t>以多元活动，绘就民族团结“同心圆”</w:t>
      </w:r>
    </w:p>
    <w:p w14:paraId="144CE79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14:textFill>
            <w14:solidFill>
              <w14:schemeClr w14:val="tx1"/>
            </w14:solidFill>
          </w14:textFill>
        </w:rPr>
        <w:t>学校将铸牢中华民族共同体意识纳入日常教育教学，通过开学第一课、主题班会、升国旗仪式等活动，将民族团结的种子深植学生心中。同时，举办“铸牢中华民族共同体意识”演讲比赛，学生结合身边故事，表达对共同体理念的理解，抒发爱国爱党之情。此外，学校还开展“中华文化大家学”进校园活动，将陶艺、剪纸等非遗文化引入课堂，邀请民间艺人传授技艺，增强学生对中华优秀传统文化的认同。通过这些举措，学校营造了浓厚的民族团结氛围，培养了学生的家国情怀和工匠精神，提升了学校在区域内的知名度和美誉度。</w:t>
      </w:r>
    </w:p>
    <w:p w14:paraId="08AAFCB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drawing>
          <wp:anchor distT="0" distB="0" distL="114300" distR="114300" simplePos="0" relativeHeight="251673600" behindDoc="0" locked="0" layoutInCell="1" allowOverlap="1">
            <wp:simplePos x="0" y="0"/>
            <wp:positionH relativeFrom="column">
              <wp:posOffset>532130</wp:posOffset>
            </wp:positionH>
            <wp:positionV relativeFrom="paragraph">
              <wp:posOffset>-51435</wp:posOffset>
            </wp:positionV>
            <wp:extent cx="4679950" cy="2633345"/>
            <wp:effectExtent l="0" t="0" r="6350" b="14605"/>
            <wp:wrapNone/>
            <wp:docPr id="36" name="图片 36" descr="9a5eef99953db286fe104da0ff6c50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9a5eef99953db286fe104da0ff6c50d4"/>
                    <pic:cNvPicPr>
                      <a:picLocks noChangeAspect="1"/>
                    </pic:cNvPicPr>
                  </pic:nvPicPr>
                  <pic:blipFill>
                    <a:blip r:embed="rId26"/>
                    <a:srcRect t="4282" b="4282"/>
                    <a:stretch>
                      <a:fillRect/>
                    </a:stretch>
                  </pic:blipFill>
                  <pic:spPr>
                    <a:xfrm>
                      <a:off x="0" y="0"/>
                      <a:ext cx="4679950" cy="2633345"/>
                    </a:xfrm>
                    <a:prstGeom prst="rect">
                      <a:avLst/>
                    </a:prstGeom>
                  </pic:spPr>
                </pic:pic>
              </a:graphicData>
            </a:graphic>
          </wp:anchor>
        </w:drawing>
      </w:r>
    </w:p>
    <w:p w14:paraId="7B6E443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3E5DEE9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4757AB93">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4E91818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72BF6A70">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7363B3A6">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45B5231B">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7BF60492">
      <w:pPr>
        <w:pStyle w:val="2"/>
        <w:rPr>
          <w:rFonts w:hint="eastAsia"/>
          <w:lang w:eastAsia="zh-CN"/>
        </w:rPr>
      </w:pPr>
    </w:p>
    <w:p w14:paraId="25296951">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color w:val="000000" w:themeColor="text1"/>
          <w:sz w:val="24"/>
          <w:szCs w:val="24"/>
          <w:lang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图3-3</w:t>
      </w:r>
      <w:r>
        <w:rPr>
          <w:rFonts w:hint="eastAsia" w:ascii="仿宋" w:hAnsi="仿宋" w:eastAsia="仿宋" w:cs="仿宋"/>
          <w:b/>
          <w:bCs/>
          <w:color w:val="000000" w:themeColor="text1"/>
          <w:sz w:val="24"/>
          <w:szCs w:val="24"/>
          <w14:textFill>
            <w14:solidFill>
              <w14:schemeClr w14:val="tx1"/>
            </w14:solidFill>
          </w14:textFill>
        </w:rPr>
        <w:t>“铸牢中华民族共同体意识”演讲比赛</w:t>
      </w:r>
    </w:p>
    <w:p w14:paraId="708C139A">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drawing>
          <wp:anchor distT="0" distB="0" distL="114300" distR="114300" simplePos="0" relativeHeight="251674624" behindDoc="0" locked="0" layoutInCell="1" allowOverlap="1">
            <wp:simplePos x="0" y="0"/>
            <wp:positionH relativeFrom="column">
              <wp:posOffset>514350</wp:posOffset>
            </wp:positionH>
            <wp:positionV relativeFrom="paragraph">
              <wp:posOffset>205105</wp:posOffset>
            </wp:positionV>
            <wp:extent cx="4679950" cy="2442210"/>
            <wp:effectExtent l="0" t="0" r="6350" b="15240"/>
            <wp:wrapNone/>
            <wp:docPr id="3" name="图片 3" descr="d475a03997ac3658b9f2506bd294a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475a03997ac3658b9f2506bd294a041"/>
                    <pic:cNvPicPr>
                      <a:picLocks noChangeAspect="1"/>
                    </pic:cNvPicPr>
                  </pic:nvPicPr>
                  <pic:blipFill>
                    <a:blip r:embed="rId27"/>
                    <a:srcRect t="40257"/>
                    <a:stretch>
                      <a:fillRect/>
                    </a:stretch>
                  </pic:blipFill>
                  <pic:spPr>
                    <a:xfrm>
                      <a:off x="0" y="0"/>
                      <a:ext cx="4679950" cy="2442210"/>
                    </a:xfrm>
                    <a:prstGeom prst="rect">
                      <a:avLst/>
                    </a:prstGeom>
                  </pic:spPr>
                </pic:pic>
              </a:graphicData>
            </a:graphic>
          </wp:anchor>
        </w:drawing>
      </w:r>
    </w:p>
    <w:p w14:paraId="17FE7345">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4813A729">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495538E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2594A5BA">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0804735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1CCD515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1B47C32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5ABA2D6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31699BF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p>
    <w:p w14:paraId="3A9E4904">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 xml:space="preserve">图3-4  </w:t>
      </w:r>
      <w:r>
        <w:rPr>
          <w:rFonts w:hint="eastAsia" w:ascii="仿宋" w:hAnsi="仿宋" w:eastAsia="仿宋" w:cs="仿宋"/>
          <w:b/>
          <w:bCs/>
          <w:color w:val="000000" w:themeColor="text1"/>
          <w:sz w:val="24"/>
          <w:szCs w:val="24"/>
          <w14:textFill>
            <w14:solidFill>
              <w14:schemeClr w14:val="tx1"/>
            </w14:solidFill>
          </w14:textFill>
        </w:rPr>
        <w:t>主题班会</w:t>
      </w:r>
    </w:p>
    <w:p w14:paraId="6B71D12E">
      <w:pPr>
        <w:keepNext w:val="0"/>
        <w:keepLines w:val="0"/>
        <w:pageBreakBefore w:val="0"/>
        <w:widowControl w:val="0"/>
        <w:kinsoku/>
        <w:wordWrap/>
        <w:overflowPunct/>
        <w:topLinePunct w:val="0"/>
        <w:autoSpaceDE w:val="0"/>
        <w:autoSpaceDN w:val="0"/>
        <w:bidi w:val="0"/>
        <w:adjustRightInd w:val="0"/>
        <w:snapToGrid/>
        <w:spacing w:line="440" w:lineRule="exact"/>
        <w:jc w:val="both"/>
        <w:textAlignment w:val="auto"/>
        <w:rPr>
          <w:rFonts w:hint="eastAsia" w:ascii="黑体" w:hAnsi="黑体" w:eastAsia="黑体" w:cs="黑体"/>
          <w:b/>
          <w:bCs/>
          <w:color w:val="000000" w:themeColor="text1"/>
          <w:sz w:val="30"/>
          <w:szCs w:val="30"/>
          <w:lang w:val="en-US" w:eastAsia="zh-CN" w:bidi="ar-SA"/>
          <w14:textFill>
            <w14:solidFill>
              <w14:schemeClr w14:val="tx1"/>
            </w14:solidFill>
          </w14:textFill>
        </w:rPr>
      </w:pPr>
    </w:p>
    <w:p w14:paraId="68C55812">
      <w:pPr>
        <w:keepNext w:val="0"/>
        <w:keepLines w:val="0"/>
        <w:pageBreakBefore w:val="0"/>
        <w:widowControl w:val="0"/>
        <w:kinsoku/>
        <w:wordWrap/>
        <w:overflowPunct/>
        <w:topLinePunct w:val="0"/>
        <w:autoSpaceDE w:val="0"/>
        <w:autoSpaceDN w:val="0"/>
        <w:bidi w:val="0"/>
        <w:adjustRightInd w:val="0"/>
        <w:snapToGrid/>
        <w:spacing w:line="440" w:lineRule="exact"/>
        <w:jc w:val="both"/>
        <w:textAlignment w:val="auto"/>
        <w:rPr>
          <w:rFonts w:hint="default" w:ascii="仿宋" w:hAnsi="仿宋" w:eastAsia="仿宋" w:cs="仿宋"/>
          <w:b/>
          <w:bCs/>
          <w:color w:val="000000" w:themeColor="text1"/>
          <w:sz w:val="30"/>
          <w:szCs w:val="30"/>
          <w:lang w:val="en-US" w:eastAsia="zh-CN"/>
          <w14:textFill>
            <w14:solidFill>
              <w14:schemeClr w14:val="tx1"/>
            </w14:solidFill>
          </w14:textFill>
        </w:rPr>
      </w:pPr>
      <w:r>
        <w:rPr>
          <w:rFonts w:hint="eastAsia" w:ascii="黑体" w:hAnsi="黑体" w:eastAsia="黑体" w:cs="黑体"/>
          <w:b/>
          <w:bCs/>
          <w:color w:val="000000" w:themeColor="text1"/>
          <w:sz w:val="30"/>
          <w:szCs w:val="30"/>
          <w:lang w:val="en-US" w:eastAsia="zh-CN" w:bidi="ar-SA"/>
          <w14:textFill>
            <w14:solidFill>
              <w14:schemeClr w14:val="tx1"/>
            </w14:solidFill>
          </w14:textFill>
        </w:rPr>
        <w:t>案例3-3</w:t>
      </w:r>
    </w:p>
    <w:p w14:paraId="43D3C085">
      <w:pPr>
        <w:keepNext w:val="0"/>
        <w:keepLines w:val="0"/>
        <w:pageBreakBefore w:val="0"/>
        <w:widowControl w:val="0"/>
        <w:kinsoku/>
        <w:wordWrap/>
        <w:overflowPunct/>
        <w:topLinePunct w:val="0"/>
        <w:bidi w:val="0"/>
        <w:snapToGrid/>
        <w:spacing w:line="440" w:lineRule="exact"/>
        <w:ind w:firstLine="602" w:firstLineChars="200"/>
        <w:jc w:val="center"/>
        <w:textAlignment w:val="auto"/>
        <w:rPr>
          <w:rFonts w:hint="eastAsia" w:ascii="仿宋" w:hAnsi="仿宋" w:eastAsia="仿宋" w:cs="仿宋"/>
          <w:b/>
          <w:bCs/>
          <w:color w:val="000000" w:themeColor="text1"/>
          <w:sz w:val="30"/>
          <w:szCs w:val="30"/>
          <w:lang w:val="en-US" w:eastAsia="zh-CN" w:bidi="ar-SA"/>
          <w14:textFill>
            <w14:solidFill>
              <w14:schemeClr w14:val="tx1"/>
            </w14:solidFill>
          </w14:textFill>
        </w:rPr>
      </w:pPr>
      <w:r>
        <w:rPr>
          <w:rFonts w:hint="eastAsia" w:ascii="仿宋" w:hAnsi="仿宋" w:eastAsia="仿宋" w:cs="仿宋"/>
          <w:b/>
          <w:bCs/>
          <w:color w:val="000000" w:themeColor="text1"/>
          <w:sz w:val="30"/>
          <w:szCs w:val="30"/>
          <w:lang w:val="en-US" w:eastAsia="zh-CN" w:bidi="ar-SA"/>
          <w14:textFill>
            <w14:solidFill>
              <w14:schemeClr w14:val="tx1"/>
            </w14:solidFill>
          </w14:textFill>
        </w:rPr>
        <w:t>文旅融合润乡土·文化铸魂育新人</w:t>
      </w:r>
    </w:p>
    <w:p w14:paraId="11D59152">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left"/>
        <w:textAlignment w:val="auto"/>
        <w:rPr>
          <w:rFonts w:hint="eastAsia" w:ascii="仿宋" w:hAnsi="仿宋" w:eastAsia="仿宋" w:cs="仿宋"/>
          <w:b w:val="0"/>
          <w:b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案例介绍：</w:t>
      </w:r>
      <w:r>
        <w:rPr>
          <w:rFonts w:hint="eastAsia" w:ascii="仿宋" w:hAnsi="仿宋" w:eastAsia="仿宋" w:cs="仿宋"/>
          <w:b w:val="0"/>
          <w:bCs w:val="0"/>
          <w:color w:val="000000" w:themeColor="text1"/>
          <w:kern w:val="2"/>
          <w:sz w:val="24"/>
          <w:szCs w:val="24"/>
          <w:lang w:val="en-US" w:eastAsia="zh-CN" w:bidi="ar-SA"/>
          <w14:textFill>
            <w14:solidFill>
              <w14:schemeClr w14:val="tx1"/>
            </w14:solidFill>
          </w14:textFill>
        </w:rPr>
        <w:t>以习近平新时代中国特色社会主义思想为指导，紧扣“立德树人”根本任务，深挖杭锦后旗地方文化资源，构建“实景研学+文化浸润”的地方文化传承育人体系，厚植学生家国情怀。</w:t>
      </w:r>
    </w:p>
    <w:p w14:paraId="7E60FCCF">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left"/>
        <w:textAlignment w:val="auto"/>
        <w:rPr>
          <w:rFonts w:hint="eastAsia" w:ascii="仿宋" w:hAnsi="仿宋" w:eastAsia="仿宋" w:cs="仿宋"/>
          <w:b w:val="0"/>
          <w:bCs w:val="0"/>
          <w:color w:val="000000" w:themeColor="text1"/>
          <w:kern w:val="2"/>
          <w:sz w:val="24"/>
          <w:szCs w:val="24"/>
          <w:lang w:val="en-US" w:eastAsia="zh-CN" w:bidi="ar-SA"/>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案例实施及成果：</w:t>
      </w:r>
      <w:r>
        <w:rPr>
          <w:rFonts w:hint="eastAsia" w:ascii="仿宋" w:hAnsi="仿宋" w:eastAsia="仿宋" w:cs="仿宋"/>
          <w:b w:val="0"/>
          <w:bCs w:val="0"/>
          <w:color w:val="000000" w:themeColor="text1"/>
          <w:kern w:val="2"/>
          <w:sz w:val="24"/>
          <w:szCs w:val="24"/>
          <w:lang w:val="en-US" w:eastAsia="zh-CN" w:bidi="ar-SA"/>
          <w14:textFill>
            <w14:solidFill>
              <w14:schemeClr w14:val="tx1"/>
            </w14:solidFill>
          </w14:textFill>
        </w:rPr>
        <w:t>系统开展多元化地方文化实践活动，组织学生赴三道桥镇米仓县开展团前教育实践活动、走进河套酒业开展“青马”研学，同步举办讲述英雄刘光子事迹的观影活动，让学生沉浸式感悟本土红色基因与产业文化。成果显著，学生文化认同与家乡自豪感全面提升。</w:t>
      </w:r>
    </w:p>
    <w:p w14:paraId="7718C6A0">
      <w:pPr>
        <w:keepNext w:val="0"/>
        <w:keepLines w:val="0"/>
        <w:pageBreakBefore w:val="0"/>
        <w:widowControl w:val="0"/>
        <w:kinsoku/>
        <w:wordWrap/>
        <w:overflowPunct/>
        <w:topLinePunct w:val="0"/>
        <w:bidi w:val="0"/>
        <w:snapToGrid/>
        <w:spacing w:line="440" w:lineRule="exact"/>
        <w:jc w:val="left"/>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drawing>
          <wp:anchor distT="0" distB="0" distL="114300" distR="114300" simplePos="0" relativeHeight="251666432" behindDoc="0" locked="0" layoutInCell="1" allowOverlap="1">
            <wp:simplePos x="0" y="0"/>
            <wp:positionH relativeFrom="column">
              <wp:posOffset>525780</wp:posOffset>
            </wp:positionH>
            <wp:positionV relativeFrom="paragraph">
              <wp:posOffset>252095</wp:posOffset>
            </wp:positionV>
            <wp:extent cx="4634865" cy="2821940"/>
            <wp:effectExtent l="0" t="0" r="13335" b="16510"/>
            <wp:wrapNone/>
            <wp:docPr id="16" name="图片 3" descr="b5894ea875323aa86ed8a1697dddf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b5894ea875323aa86ed8a1697dddf7c"/>
                    <pic:cNvPicPr>
                      <a:picLocks noChangeAspect="1"/>
                    </pic:cNvPicPr>
                  </pic:nvPicPr>
                  <pic:blipFill>
                    <a:blip r:embed="rId28"/>
                    <a:srcRect l="10068" t="704" r="10068" b="1312"/>
                    <a:stretch>
                      <a:fillRect/>
                    </a:stretch>
                  </pic:blipFill>
                  <pic:spPr>
                    <a:xfrm>
                      <a:off x="0" y="0"/>
                      <a:ext cx="4634865" cy="2821940"/>
                    </a:xfrm>
                    <a:prstGeom prst="rect">
                      <a:avLst/>
                    </a:prstGeom>
                    <a:noFill/>
                    <a:ln>
                      <a:noFill/>
                    </a:ln>
                  </pic:spPr>
                </pic:pic>
              </a:graphicData>
            </a:graphic>
          </wp:anchor>
        </w:drawing>
      </w:r>
    </w:p>
    <w:p w14:paraId="654CD007">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1D0E5092">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6396E736">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44CAA002">
      <w:pPr>
        <w:keepNext w:val="0"/>
        <w:keepLines w:val="0"/>
        <w:pageBreakBefore w:val="0"/>
        <w:widowControl w:val="0"/>
        <w:kinsoku/>
        <w:wordWrap/>
        <w:overflowPunct/>
        <w:topLinePunct w:val="0"/>
        <w:bidi w:val="0"/>
        <w:snapToGrid/>
        <w:spacing w:line="440" w:lineRule="exact"/>
        <w:jc w:val="both"/>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3CE07A47">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53D5B4DE">
      <w:pPr>
        <w:keepNext w:val="0"/>
        <w:keepLines w:val="0"/>
        <w:pageBreakBefore w:val="0"/>
        <w:widowControl w:val="0"/>
        <w:kinsoku/>
        <w:wordWrap/>
        <w:overflowPunct/>
        <w:topLinePunct w:val="0"/>
        <w:bidi w:val="0"/>
        <w:snapToGrid/>
        <w:spacing w:line="440" w:lineRule="exact"/>
        <w:jc w:val="both"/>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0D36CC26">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006CC952">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5878FAF1">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6CEC29C6">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406AB600">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72DCEAF4">
      <w:pPr>
        <w:keepNext w:val="0"/>
        <w:keepLines w:val="0"/>
        <w:pageBreakBefore w:val="0"/>
        <w:widowControl w:val="0"/>
        <w:kinsoku/>
        <w:wordWrap/>
        <w:overflowPunct/>
        <w:topLinePunct w:val="0"/>
        <w:bidi w:val="0"/>
        <w:snapToGrid/>
        <w:spacing w:line="440" w:lineRule="exact"/>
        <w:ind w:firstLine="482" w:firstLineChars="200"/>
        <w:jc w:val="center"/>
        <w:textAlignment w:val="auto"/>
        <w:rPr>
          <w:rFonts w:hint="eastAsia" w:ascii="仿宋" w:hAnsi="仿宋" w:eastAsia="仿宋" w:cs="仿宋"/>
          <w:color w:val="000000" w:themeColor="text1"/>
          <w:sz w:val="24"/>
          <w:szCs w:val="24"/>
          <w:lang w:val="en-US"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图3-5  团前教育研学实践活动</w:t>
      </w:r>
    </w:p>
    <w:p w14:paraId="15917D18">
      <w:pPr>
        <w:pStyle w:val="6"/>
        <w:pageBreakBefore w:val="0"/>
        <w:widowControl w:val="0"/>
        <w:kinsoku/>
        <w:wordWrap/>
        <w:overflowPunct/>
        <w:topLinePunct w:val="0"/>
        <w:autoSpaceDE/>
        <w:autoSpaceDN/>
        <w:bidi w:val="0"/>
        <w:adjustRightInd/>
        <w:snapToGrid/>
        <w:spacing w:before="0" w:after="0" w:line="440" w:lineRule="exact"/>
        <w:ind w:firstLine="602" w:firstLineChars="200"/>
        <w:jc w:val="both"/>
        <w:textAlignment w:val="auto"/>
        <w:rPr>
          <w:rFonts w:hint="eastAsia" w:ascii="黑体" w:hAnsi="黑体" w:eastAsia="黑体" w:cs="黑体"/>
          <w:b/>
          <w:bCs/>
          <w:color w:val="000000" w:themeColor="text1"/>
          <w:sz w:val="30"/>
          <w:szCs w:val="30"/>
          <w:lang w:val="en-US" w:eastAsia="zh-CN"/>
          <w14:textFill>
            <w14:solidFill>
              <w14:schemeClr w14:val="tx1"/>
            </w14:solidFill>
          </w14:textFill>
        </w:rPr>
      </w:pPr>
    </w:p>
    <w:p w14:paraId="13AAAE9F">
      <w:pPr>
        <w:pStyle w:val="6"/>
        <w:pageBreakBefore w:val="0"/>
        <w:widowControl w:val="0"/>
        <w:kinsoku/>
        <w:wordWrap/>
        <w:overflowPunct/>
        <w:topLinePunct w:val="0"/>
        <w:autoSpaceDE/>
        <w:autoSpaceDN/>
        <w:bidi w:val="0"/>
        <w:adjustRightInd/>
        <w:snapToGrid/>
        <w:spacing w:before="0" w:after="0" w:line="440" w:lineRule="exact"/>
        <w:ind w:firstLine="602" w:firstLineChars="200"/>
        <w:jc w:val="both"/>
        <w:textAlignment w:val="auto"/>
        <w:rPr>
          <w:rFonts w:hint="eastAsia" w:ascii="黑体" w:hAnsi="黑体" w:eastAsia="黑体" w:cs="黑体"/>
          <w:b/>
          <w:bCs/>
          <w:color w:val="000000" w:themeColor="text1"/>
          <w:sz w:val="30"/>
          <w:szCs w:val="30"/>
          <w:lang w:val="en-US" w:eastAsia="zh-CN"/>
          <w14:textFill>
            <w14:solidFill>
              <w14:schemeClr w14:val="tx1"/>
            </w14:solidFill>
          </w14:textFill>
        </w:rPr>
      </w:pPr>
    </w:p>
    <w:p w14:paraId="7B989E70">
      <w:pPr>
        <w:pStyle w:val="6"/>
        <w:pageBreakBefore w:val="0"/>
        <w:widowControl w:val="0"/>
        <w:kinsoku/>
        <w:wordWrap/>
        <w:overflowPunct/>
        <w:topLinePunct w:val="0"/>
        <w:autoSpaceDE/>
        <w:autoSpaceDN/>
        <w:bidi w:val="0"/>
        <w:adjustRightInd/>
        <w:snapToGrid/>
        <w:spacing w:before="0" w:after="0" w:line="440" w:lineRule="exact"/>
        <w:jc w:val="both"/>
        <w:textAlignment w:val="auto"/>
        <w:rPr>
          <w:rFonts w:hint="default" w:ascii="仿宋_GB2312" w:hAnsi="Yu Mincho Light" w:eastAsia="仿宋_GB2312" w:cs="Yu Mincho Light"/>
          <w:color w:val="000000" w:themeColor="text1"/>
          <w:sz w:val="32"/>
          <w:lang w:val="en-US" w:eastAsia="zh-CN"/>
          <w14:textFill>
            <w14:solidFill>
              <w14:schemeClr w14:val="tx1"/>
            </w14:solidFill>
          </w14:textFill>
        </w:rPr>
      </w:pPr>
      <w:r>
        <w:rPr>
          <w:rFonts w:hint="eastAsia" w:ascii="黑体" w:hAnsi="黑体" w:eastAsia="黑体" w:cs="黑体"/>
          <w:b/>
          <w:bCs/>
          <w:color w:val="000000" w:themeColor="text1"/>
          <w:sz w:val="30"/>
          <w:szCs w:val="30"/>
          <w:lang w:val="en-US" w:eastAsia="zh-CN"/>
          <w14:textFill>
            <w14:solidFill>
              <w14:schemeClr w14:val="tx1"/>
            </w14:solidFill>
          </w14:textFill>
        </w:rPr>
        <w:t>案例3-</w:t>
      </w:r>
      <w:r>
        <w:rPr>
          <w:rFonts w:hint="eastAsia" w:ascii="黑体" w:hAnsi="黑体" w:cs="黑体"/>
          <w:b/>
          <w:bCs/>
          <w:color w:val="000000" w:themeColor="text1"/>
          <w:sz w:val="30"/>
          <w:szCs w:val="30"/>
          <w:lang w:val="en-US" w:eastAsia="zh-CN"/>
          <w14:textFill>
            <w14:solidFill>
              <w14:schemeClr w14:val="tx1"/>
            </w14:solidFill>
          </w14:textFill>
        </w:rPr>
        <w:t>4</w:t>
      </w:r>
    </w:p>
    <w:p w14:paraId="3C2369B1">
      <w:pPr>
        <w:keepNext w:val="0"/>
        <w:keepLines w:val="0"/>
        <w:pageBreakBefore w:val="0"/>
        <w:widowControl w:val="0"/>
        <w:kinsoku/>
        <w:wordWrap/>
        <w:overflowPunct/>
        <w:topLinePunct w:val="0"/>
        <w:autoSpaceDE/>
        <w:autoSpaceDN/>
        <w:bidi w:val="0"/>
        <w:adjustRightInd/>
        <w:snapToGrid/>
        <w:spacing w:line="440" w:lineRule="exact"/>
        <w:ind w:firstLine="602" w:firstLineChars="200"/>
        <w:jc w:val="center"/>
        <w:textAlignment w:val="auto"/>
        <w:rPr>
          <w:rFonts w:hint="eastAsia" w:ascii="仿宋" w:hAnsi="仿宋" w:eastAsia="仿宋" w:cs="仿宋"/>
          <w:color w:val="000000" w:themeColor="text1"/>
          <w:sz w:val="32"/>
          <w:szCs w:val="32"/>
          <w:lang w:val="en-US" w:eastAsia="zh-CN"/>
          <w14:textFill>
            <w14:solidFill>
              <w14:schemeClr w14:val="tx1"/>
            </w14:solidFill>
          </w14:textFill>
        </w:rPr>
      </w:pPr>
      <w:r>
        <w:rPr>
          <w:rFonts w:hint="eastAsia" w:ascii="仿宋" w:hAnsi="仿宋" w:eastAsia="仿宋" w:cs="仿宋"/>
          <w:b/>
          <w:bCs/>
          <w:color w:val="000000" w:themeColor="text1"/>
          <w:sz w:val="30"/>
          <w:szCs w:val="30"/>
          <w:lang w:val="en-US" w:eastAsia="zh-CN"/>
          <w14:textFill>
            <w14:solidFill>
              <w14:schemeClr w14:val="tx1"/>
            </w14:solidFill>
          </w14:textFill>
        </w:rPr>
        <w:t>重温红色记忆 践行育人使命</w:t>
      </w:r>
    </w:p>
    <w:p w14:paraId="54316347">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聚焦立德树人根本任务</w:t>
      </w:r>
      <w:r>
        <w:rPr>
          <w:rFonts w:hint="eastAsia" w:ascii="宋体" w:hAnsi="宋体" w:eastAsia="宋体" w:cs="宋体"/>
          <w:color w:val="000000" w:themeColor="text1"/>
          <w:sz w:val="24"/>
          <w:szCs w:val="24"/>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我校</w:t>
      </w:r>
      <w:r>
        <w:rPr>
          <w:rFonts w:hint="eastAsia" w:ascii="宋体" w:hAnsi="宋体" w:eastAsia="宋体" w:cs="宋体"/>
          <w:color w:val="000000" w:themeColor="text1"/>
          <w:sz w:val="24"/>
          <w:szCs w:val="24"/>
          <w14:textFill>
            <w14:solidFill>
              <w14:schemeClr w14:val="tx1"/>
            </w14:solidFill>
          </w14:textFill>
        </w:rPr>
        <w:t>打造“党建思政教育实践基地”红色文化育人平台。通过组织党员教师开展沉浸式主题党日活动，将红色文化教育融入日常党建工作。</w:t>
      </w:r>
    </w:p>
    <w:p w14:paraId="0862FCA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活动以“重温入党誓词+基地参观学习+专题党课+实践研讨”为主线，系统展现党的百年奋斗历程。党员教师在红色场馆中实地感悟革命精神，在专题党课中深化理论认知，在交流研讨中碰撞思想火花。活动特别注重学用结合，引导教师将红色基因融入课堂教学，开发课程思政案例，把</w:t>
      </w:r>
      <w:r>
        <w:rPr>
          <w:rFonts w:hint="eastAsia" w:ascii="宋体" w:hAnsi="宋体" w:eastAsia="宋体" w:cs="宋体"/>
          <w:color w:val="000000" w:themeColor="text1"/>
          <w:sz w:val="24"/>
          <w:szCs w:val="24"/>
          <w:lang w:eastAsia="zh-CN"/>
          <w14:textFill>
            <w14:solidFill>
              <w14:schemeClr w14:val="tx1"/>
            </w14:solidFill>
          </w14:textFill>
        </w:rPr>
        <w:t>党史学习教育</w:t>
      </w:r>
      <w:r>
        <w:rPr>
          <w:rFonts w:hint="eastAsia" w:ascii="宋体" w:hAnsi="宋体" w:eastAsia="宋体" w:cs="宋体"/>
          <w:color w:val="000000" w:themeColor="text1"/>
          <w:sz w:val="24"/>
          <w:szCs w:val="24"/>
          <w14:textFill>
            <w14:solidFill>
              <w14:schemeClr w14:val="tx1"/>
            </w14:solidFill>
          </w14:textFill>
        </w:rPr>
        <w:t>成果转化为立德树人的实际行动</w:t>
      </w:r>
      <w:r>
        <w:rPr>
          <w:rFonts w:hint="eastAsia" w:ascii="宋体" w:hAnsi="宋体" w:eastAsia="宋体" w:cs="宋体"/>
          <w:color w:val="000000" w:themeColor="text1"/>
          <w:sz w:val="24"/>
          <w:szCs w:val="24"/>
          <w:lang w:val="en-US" w:eastAsia="zh-CN"/>
          <w14:textFill>
            <w14:solidFill>
              <w14:schemeClr w14:val="tx1"/>
            </w14:solidFill>
          </w14:textFill>
        </w:rPr>
        <w:t>，助力培养担当民族复兴大任的时代新人。</w:t>
      </w:r>
    </w:p>
    <w:p w14:paraId="64EBD1B8">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6BA85939">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781725A0">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4043CC45">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6D2D0D9B">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7FD4E656">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r>
        <w:rPr>
          <w:rFonts w:hint="eastAsia" w:ascii="仿宋" w:hAnsi="仿宋" w:eastAsia="仿宋" w:cs="仿宋"/>
          <w:color w:val="000000" w:themeColor="text1"/>
          <w:sz w:val="32"/>
          <w:szCs w:val="32"/>
          <w:lang w:val="en-US" w:eastAsia="zh-CN"/>
          <w14:textFill>
            <w14:solidFill>
              <w14:schemeClr w14:val="tx1"/>
            </w14:solidFill>
          </w14:textFill>
        </w:rPr>
        <w:drawing>
          <wp:anchor distT="0" distB="0" distL="114300" distR="114300" simplePos="0" relativeHeight="251671552" behindDoc="0" locked="0" layoutInCell="1" allowOverlap="1">
            <wp:simplePos x="0" y="0"/>
            <wp:positionH relativeFrom="column">
              <wp:posOffset>710565</wp:posOffset>
            </wp:positionH>
            <wp:positionV relativeFrom="paragraph">
              <wp:posOffset>-161925</wp:posOffset>
            </wp:positionV>
            <wp:extent cx="4436745" cy="2594610"/>
            <wp:effectExtent l="0" t="0" r="1905" b="15240"/>
            <wp:wrapNone/>
            <wp:docPr id="33" name="图片 33" descr="3f6327d8579f0a6ee828ac4766b4ec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3f6327d8579f0a6ee828ac4766b4ec32"/>
                    <pic:cNvPicPr>
                      <a:picLocks noChangeAspect="1"/>
                    </pic:cNvPicPr>
                  </pic:nvPicPr>
                  <pic:blipFill>
                    <a:blip r:embed="rId29"/>
                    <a:srcRect b="34319"/>
                    <a:stretch>
                      <a:fillRect/>
                    </a:stretch>
                  </pic:blipFill>
                  <pic:spPr>
                    <a:xfrm>
                      <a:off x="0" y="0"/>
                      <a:ext cx="4436745" cy="2594610"/>
                    </a:xfrm>
                    <a:prstGeom prst="rect">
                      <a:avLst/>
                    </a:prstGeom>
                  </pic:spPr>
                </pic:pic>
              </a:graphicData>
            </a:graphic>
          </wp:anchor>
        </w:drawing>
      </w:r>
    </w:p>
    <w:p w14:paraId="272AEAC2">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2147CDFC">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1B485927">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335C727B">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5746A7AB">
      <w:pPr>
        <w:keepNext w:val="0"/>
        <w:keepLines w:val="0"/>
        <w:pageBreakBefore w:val="0"/>
        <w:widowControl w:val="0"/>
        <w:tabs>
          <w:tab w:val="left" w:pos="2308"/>
        </w:tabs>
        <w:kinsoku/>
        <w:wordWrap/>
        <w:overflowPunct/>
        <w:topLinePunct w:val="0"/>
        <w:autoSpaceDE/>
        <w:autoSpaceDN/>
        <w:bidi w:val="0"/>
        <w:adjustRightInd/>
        <w:snapToGrid/>
        <w:spacing w:line="440" w:lineRule="exact"/>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5BFF32AE">
      <w:pPr>
        <w:keepNext w:val="0"/>
        <w:keepLines w:val="0"/>
        <w:pageBreakBefore w:val="0"/>
        <w:widowControl w:val="0"/>
        <w:tabs>
          <w:tab w:val="left" w:pos="2308"/>
        </w:tabs>
        <w:kinsoku/>
        <w:wordWrap/>
        <w:overflowPunct/>
        <w:topLinePunct w:val="0"/>
        <w:autoSpaceDE/>
        <w:autoSpaceDN/>
        <w:bidi w:val="0"/>
        <w:adjustRightInd/>
        <w:snapToGrid/>
        <w:spacing w:line="440" w:lineRule="exact"/>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37520CB8">
      <w:pPr>
        <w:keepNext w:val="0"/>
        <w:keepLines w:val="0"/>
        <w:pageBreakBefore w:val="0"/>
        <w:widowControl w:val="0"/>
        <w:tabs>
          <w:tab w:val="left" w:pos="2308"/>
        </w:tabs>
        <w:kinsoku/>
        <w:wordWrap/>
        <w:overflowPunct/>
        <w:topLinePunct w:val="0"/>
        <w:autoSpaceDE/>
        <w:autoSpaceDN/>
        <w:bidi w:val="0"/>
        <w:adjustRightInd/>
        <w:snapToGrid/>
        <w:spacing w:line="440" w:lineRule="exact"/>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67E5FE48">
      <w:pPr>
        <w:keepNext w:val="0"/>
        <w:keepLines w:val="0"/>
        <w:pageBreakBefore w:val="0"/>
        <w:widowControl w:val="0"/>
        <w:tabs>
          <w:tab w:val="left" w:pos="2308"/>
        </w:tabs>
        <w:kinsoku/>
        <w:wordWrap/>
        <w:overflowPunct/>
        <w:topLinePunct w:val="0"/>
        <w:autoSpaceDE/>
        <w:autoSpaceDN/>
        <w:bidi w:val="0"/>
        <w:adjustRightInd/>
        <w:snapToGrid/>
        <w:spacing w:line="440" w:lineRule="exact"/>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p>
    <w:p w14:paraId="496AD1B7">
      <w:pPr>
        <w:keepNext w:val="0"/>
        <w:keepLines w:val="0"/>
        <w:pageBreakBefore w:val="0"/>
        <w:widowControl w:val="0"/>
        <w:tabs>
          <w:tab w:val="left" w:pos="2308"/>
        </w:tabs>
        <w:kinsoku/>
        <w:wordWrap/>
        <w:overflowPunct/>
        <w:topLinePunct w:val="0"/>
        <w:autoSpaceDE/>
        <w:autoSpaceDN/>
        <w:bidi w:val="0"/>
        <w:adjustRightInd/>
        <w:snapToGrid/>
        <w:spacing w:line="440" w:lineRule="exact"/>
        <w:jc w:val="center"/>
        <w:textAlignment w:val="auto"/>
        <w:rPr>
          <w:rFonts w:hint="eastAsia" w:ascii="仿宋" w:hAnsi="仿宋" w:eastAsia="仿宋" w:cs="仿宋"/>
          <w:b/>
          <w:bCs/>
          <w:color w:val="000000" w:themeColor="text1"/>
          <w:sz w:val="24"/>
          <w:szCs w:val="24"/>
          <w:lang w:val="en-US" w:eastAsia="zh-CN"/>
          <w14:textFill>
            <w14:solidFill>
              <w14:schemeClr w14:val="tx1"/>
            </w14:solidFill>
          </w14:textFill>
        </w:rPr>
      </w:pPr>
      <w:r>
        <w:rPr>
          <w:rFonts w:hint="eastAsia" w:ascii="仿宋" w:hAnsi="仿宋" w:eastAsia="仿宋" w:cs="仿宋"/>
          <w:b/>
          <w:bCs/>
          <w:color w:val="000000" w:themeColor="text1"/>
          <w:sz w:val="24"/>
          <w:szCs w:val="24"/>
          <w:lang w:val="en-US" w:eastAsia="zh-CN"/>
          <w14:textFill>
            <w14:solidFill>
              <w14:schemeClr w14:val="tx1"/>
            </w14:solidFill>
          </w14:textFill>
        </w:rPr>
        <w:t>图3-6  校长讲党课</w:t>
      </w:r>
    </w:p>
    <w:p w14:paraId="42308091">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r>
        <w:rPr>
          <w:rFonts w:hint="eastAsia" w:ascii="仿宋" w:hAnsi="仿宋" w:eastAsia="仿宋" w:cs="仿宋"/>
          <w:color w:val="000000" w:themeColor="text1"/>
          <w:sz w:val="32"/>
          <w:szCs w:val="32"/>
          <w:lang w:val="en-US" w:eastAsia="zh-CN"/>
          <w14:textFill>
            <w14:solidFill>
              <w14:schemeClr w14:val="tx1"/>
            </w14:solidFill>
          </w14:textFill>
        </w:rPr>
        <w:drawing>
          <wp:anchor distT="0" distB="0" distL="114300" distR="114300" simplePos="0" relativeHeight="251672576" behindDoc="0" locked="0" layoutInCell="1" allowOverlap="1">
            <wp:simplePos x="0" y="0"/>
            <wp:positionH relativeFrom="column">
              <wp:posOffset>639445</wp:posOffset>
            </wp:positionH>
            <wp:positionV relativeFrom="paragraph">
              <wp:posOffset>118745</wp:posOffset>
            </wp:positionV>
            <wp:extent cx="4582795" cy="2669540"/>
            <wp:effectExtent l="0" t="0" r="8255" b="16510"/>
            <wp:wrapNone/>
            <wp:docPr id="34" name="图片 34" descr="dea13fc2eb04c4460db9239718c1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dea13fc2eb04c4460db9239718c17204"/>
                    <pic:cNvPicPr>
                      <a:picLocks noChangeAspect="1"/>
                    </pic:cNvPicPr>
                  </pic:nvPicPr>
                  <pic:blipFill>
                    <a:blip r:embed="rId30"/>
                    <a:stretch>
                      <a:fillRect/>
                    </a:stretch>
                  </pic:blipFill>
                  <pic:spPr>
                    <a:xfrm>
                      <a:off x="0" y="0"/>
                      <a:ext cx="4582795" cy="2669540"/>
                    </a:xfrm>
                    <a:prstGeom prst="rect">
                      <a:avLst/>
                    </a:prstGeom>
                  </pic:spPr>
                </pic:pic>
              </a:graphicData>
            </a:graphic>
          </wp:anchor>
        </w:drawing>
      </w:r>
    </w:p>
    <w:p w14:paraId="57881ED4">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49CD820F">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204762C2">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7CDC7C35">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35508523">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78CE67BC">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132EC5DF">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3B090B15">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16C4B811">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171099EE">
      <w:pPr>
        <w:pageBreakBefore w:val="0"/>
        <w:tabs>
          <w:tab w:val="left" w:pos="2308"/>
        </w:tabs>
        <w:overflowPunct/>
        <w:topLinePunct w:val="0"/>
        <w:bidi w:val="0"/>
        <w:spacing w:line="520" w:lineRule="exact"/>
        <w:jc w:val="cente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 xml:space="preserve">图3-7  </w:t>
      </w:r>
      <w:r>
        <w:rPr>
          <w:rFonts w:hint="eastAsia" w:ascii="宋体" w:hAnsi="宋体" w:eastAsia="宋体" w:cs="宋体"/>
          <w:b/>
          <w:bCs/>
          <w:color w:val="000000" w:themeColor="text1"/>
          <w:sz w:val="24"/>
          <w:szCs w:val="24"/>
          <w14:textFill>
            <w14:solidFill>
              <w14:schemeClr w14:val="tx1"/>
            </w14:solidFill>
          </w14:textFill>
        </w:rPr>
        <w:t>党建思政教育实践基地</w:t>
      </w:r>
    </w:p>
    <w:p w14:paraId="0F031C2B">
      <w:pPr>
        <w:keepNext w:val="0"/>
        <w:keepLines w:val="0"/>
        <w:pageBreakBefore w:val="0"/>
        <w:widowControl w:val="0"/>
        <w:kinsoku/>
        <w:wordWrap/>
        <w:overflowPunct/>
        <w:topLinePunct w:val="0"/>
        <w:autoSpaceDE/>
        <w:autoSpaceDN/>
        <w:bidi w:val="0"/>
        <w:adjustRightInd/>
        <w:snapToGrid/>
        <w:spacing w:line="440" w:lineRule="exact"/>
        <w:ind w:firstLine="640" w:firstLineChars="200"/>
        <w:textAlignment w:val="auto"/>
        <w:rPr>
          <w:rFonts w:hint="eastAsia" w:ascii="仿宋" w:hAnsi="仿宋" w:eastAsia="仿宋" w:cs="仿宋"/>
          <w:color w:val="000000" w:themeColor="text1"/>
          <w:sz w:val="32"/>
          <w:szCs w:val="32"/>
          <w:lang w:val="en-US" w:eastAsia="zh-CN"/>
          <w14:textFill>
            <w14:solidFill>
              <w14:schemeClr w14:val="tx1"/>
            </w14:solidFill>
          </w14:textFill>
        </w:rPr>
      </w:pPr>
    </w:p>
    <w:p w14:paraId="3ABA3F46">
      <w:pPr>
        <w:keepNext w:val="0"/>
        <w:keepLines w:val="0"/>
        <w:pageBreakBefore w:val="0"/>
        <w:widowControl/>
        <w:kinsoku/>
        <w:wordWrap/>
        <w:overflowPunct/>
        <w:topLinePunct w:val="0"/>
        <w:autoSpaceDE/>
        <w:autoSpaceDN/>
        <w:bidi w:val="0"/>
        <w:adjustRightInd/>
        <w:snapToGrid/>
        <w:spacing w:before="157" w:beforeLines="50" w:after="157" w:afterLines="50" w:line="440" w:lineRule="exact"/>
        <w:ind w:firstLine="602" w:firstLineChars="200"/>
        <w:jc w:val="both"/>
        <w:textAlignment w:val="auto"/>
        <w:rPr>
          <w:rFonts w:hint="eastAsia" w:ascii="黑体" w:hAnsi="黑体" w:eastAsia="黑体" w:cs="黑体"/>
          <w:b/>
          <w:bCs/>
          <w:color w:val="000000" w:themeColor="text1"/>
          <w:spacing w:val="-2"/>
          <w:kern w:val="0"/>
          <w:position w:val="-2"/>
          <w:sz w:val="28"/>
          <w:szCs w:val="28"/>
          <w:lang w:eastAsia="zh-CN"/>
          <w14:textFill>
            <w14:solidFill>
              <w14:schemeClr w14:val="tx1"/>
            </w14:solidFill>
          </w14:textFill>
        </w:rPr>
      </w:pPr>
      <w:r>
        <w:rPr>
          <w:rFonts w:hint="eastAsia" w:ascii="黑体" w:hAnsi="黑体" w:eastAsia="黑体" w:cs="黑体"/>
          <w:b/>
          <w:bCs/>
          <w:color w:val="000000" w:themeColor="text1"/>
          <w:sz w:val="30"/>
          <w:szCs w:val="30"/>
          <w14:textFill>
            <w14:solidFill>
              <w14:schemeClr w14:val="tx1"/>
            </w14:solidFill>
          </w14:textFill>
        </w:rPr>
        <w:t>4.</w:t>
      </w:r>
      <w:r>
        <w:rPr>
          <w:rFonts w:hint="eastAsia" w:ascii="黑体" w:hAnsi="黑体" w:eastAsia="黑体" w:cs="黑体"/>
          <w:b/>
          <w:bCs/>
          <w:color w:val="000000" w:themeColor="text1"/>
          <w:sz w:val="30"/>
          <w:szCs w:val="30"/>
          <w:lang w:val="en-US" w:eastAsia="zh-CN"/>
          <w14:textFill>
            <w14:solidFill>
              <w14:schemeClr w14:val="tx1"/>
            </w14:solidFill>
          </w14:textFill>
        </w:rPr>
        <w:t>国际合作（未开展）</w:t>
      </w:r>
    </w:p>
    <w:p w14:paraId="20B577D0">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《关于我校暂未开展国际合作的情况说明》</w:t>
      </w:r>
    </w:p>
    <w:p w14:paraId="57898C08">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随着教育全球化进程的加速，国际合作已成为众多教育机构提升办学水平、拓宽教育视野的重要途径。然而，我校作为一所中等职业学校，在国际合作方面尚处于初步探索阶段，目前暂不具备全面开展相关合作的条件，以下是具体情况说明：</w:t>
      </w:r>
    </w:p>
    <w:p w14:paraId="1FB4E362">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一、师资力量限制</w:t>
      </w:r>
    </w:p>
    <w:p w14:paraId="37540880">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语言能力</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我校教师队伍主要专注于国内中职教育教学任务，具备流利的外语交流能力，尤其是专业领域外语教学能力的教师占比较低。在开展国际合作时，无论是留学生教学、与国外合作院校的课程对接研讨，还是国际学术交流活动，都需要教师能够熟练运用外语进行沟通和教学。例如，若接收留学生，教师难以用外语准确地传授专业知识、解答学生疑问，也无法有效地与留学生进行文化交流互动，这将严重影响教学质量和留学生的学习体验。缺乏专业的语言培训师资和课程体系来提升教师的外语水平。现有的外语培训资源有限，且多侧重于基础外语知识的学习，无法满足教师在专业外语应用方面的提升需求，如专业术语翻译、外语教学方法培训等。</w:t>
      </w:r>
    </w:p>
    <w:p w14:paraId="33C76709">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国际化教育背景与经验</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大部分教师没有在国外学习、教学或参与国际教育项目的经历，对于国际职业教育的先进理念、教学模式和课程标准了解甚少。在国际合作办学中，难以理解和借鉴国外合作院校的优秀教学经验，如以能力为本位的教学模式、项目式学习方法等，也无法准确地将我校的专业特色和优势与国际标准相结合，制定出具有国际竞争力的合作办学方案。教师在跨文化教育方面的培训不足，不熟悉不同国家的文化习俗、教育体系差异以及留学生的心理特点。在面对留学生时，可能会因文化误解而产生教学和管理上的冲突，无法为留学生提供良好的文化适应支持和教育服务。</w:t>
      </w:r>
    </w:p>
    <w:p w14:paraId="6CB6912D">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二、</w:t>
      </w:r>
      <w:r>
        <w:rPr>
          <w:rFonts w:hint="eastAsia" w:ascii="宋体" w:hAnsi="宋体" w:eastAsia="宋体" w:cs="宋体"/>
          <w:color w:val="000000" w:themeColor="text1"/>
          <w:sz w:val="24"/>
          <w:szCs w:val="24"/>
          <w14:textFill>
            <w14:solidFill>
              <w14:schemeClr w14:val="tx1"/>
            </w14:solidFill>
          </w14:textFill>
        </w:rPr>
        <w:t>课程体系与教学资源</w:t>
      </w:r>
    </w:p>
    <w:p w14:paraId="10AF576B">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14:textFill>
            <w14:solidFill>
              <w14:schemeClr w14:val="tx1"/>
            </w14:solidFill>
          </w14:textFill>
        </w:rPr>
        <w:t>课程缺乏灵活性和适应性，难以与国外合作院校的课程进行对接和融合。国际合作办学通常需要双方在课程设置上进行相互协调和整合，实现学分互认和课程衔接。但我校目前的课程架构相对固定，难以根据合作需求进行快速调整和优化，限制了国际合作课程开发的可能性。</w:t>
      </w:r>
    </w:p>
    <w:p w14:paraId="24DB7F0C">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缺乏国际化的教材和教学资料。现有的教材以国内职业教育教材为主，内容和案例多围绕国内行业实际情况，很少涉及国际行业动态、国际企业案例等国际化元素。在教学过程中，无法为学生提供全面的国际视野和行业前沿信息，也不利于留学生了解中国职业教育与国际的异同。实践教学资源与国际标准差距较大。国际职业教育注重实践教学的真实性和国际化环境营造，如与国际知名企业建立实习实训基地、引入国际先进的实训设备和软件等。我校的实践教学设施虽然能够满足国内中职教学的基本需求，但在国际化水平上还有很大的提升空间，例如缺乏与国际企业合作的实训项目、没有引进国际先进的模拟教学软件等，难以开展具有国际水准的实践教学活动。</w:t>
      </w:r>
    </w:p>
    <w:p w14:paraId="3D54DA87">
      <w:pPr>
        <w:keepNext w:val="0"/>
        <w:keepLines w:val="0"/>
        <w:pageBreakBefore w:val="0"/>
        <w:numPr>
          <w:ilvl w:val="0"/>
          <w:numId w:val="0"/>
        </w:numPr>
        <w:kinsoku/>
        <w:wordWrap/>
        <w:overflowPunct/>
        <w:topLinePunct w:val="0"/>
        <w:autoSpaceDE/>
        <w:autoSpaceDN/>
        <w:bidi w:val="0"/>
        <w:adjustRightInd/>
        <w:snapToGrid/>
        <w:spacing w:before="157" w:beforeLines="50" w:after="157" w:afterLines="50" w:line="440" w:lineRule="exact"/>
        <w:ind w:leftChars="0"/>
        <w:jc w:val="both"/>
        <w:textAlignment w:val="auto"/>
        <w:rPr>
          <w:rFonts w:hint="eastAsia" w:ascii="黑体" w:hAnsi="黑体" w:eastAsia="黑体" w:cs="黑体"/>
          <w:b/>
          <w:bCs/>
          <w:color w:val="000000" w:themeColor="text1"/>
          <w:sz w:val="30"/>
          <w:szCs w:val="30"/>
          <w:shd w:val="clear" w:color="auto" w:fill="FFFFFF"/>
          <w:lang w:val="en-US" w:eastAsia="zh-CN"/>
          <w14:textFill>
            <w14:solidFill>
              <w14:schemeClr w14:val="tx1"/>
            </w14:solidFill>
          </w14:textFill>
        </w:rPr>
      </w:pPr>
      <w:r>
        <w:rPr>
          <w:rFonts w:hint="eastAsia" w:ascii="黑体" w:hAnsi="黑体" w:eastAsia="黑体" w:cs="黑体"/>
          <w:b/>
          <w:bCs/>
          <w:color w:val="000000" w:themeColor="text1"/>
          <w:sz w:val="30"/>
          <w:szCs w:val="30"/>
          <w:shd w:val="clear" w:color="auto" w:fill="FFFFFF"/>
          <w:lang w:val="en-US" w:eastAsia="zh-CN"/>
          <w14:textFill>
            <w14:solidFill>
              <w14:schemeClr w14:val="tx1"/>
            </w14:solidFill>
          </w14:textFill>
        </w:rPr>
        <w:t xml:space="preserve">   </w:t>
      </w:r>
    </w:p>
    <w:p w14:paraId="40708338">
      <w:pPr>
        <w:keepNext w:val="0"/>
        <w:keepLines w:val="0"/>
        <w:pageBreakBefore w:val="0"/>
        <w:numPr>
          <w:ilvl w:val="0"/>
          <w:numId w:val="0"/>
        </w:numPr>
        <w:kinsoku/>
        <w:wordWrap/>
        <w:overflowPunct/>
        <w:topLinePunct w:val="0"/>
        <w:autoSpaceDE/>
        <w:autoSpaceDN/>
        <w:bidi w:val="0"/>
        <w:adjustRightInd/>
        <w:snapToGrid/>
        <w:spacing w:before="157" w:beforeLines="50" w:after="157" w:afterLines="50" w:line="440" w:lineRule="exact"/>
        <w:ind w:leftChars="0"/>
        <w:jc w:val="both"/>
        <w:textAlignment w:val="auto"/>
        <w:rPr>
          <w:rFonts w:hint="eastAsia" w:ascii="黑体" w:hAnsi="黑体" w:eastAsia="黑体" w:cs="黑体"/>
          <w:b/>
          <w:bCs/>
          <w:color w:val="000000" w:themeColor="text1"/>
          <w:sz w:val="30"/>
          <w:szCs w:val="30"/>
          <w:shd w:val="clear" w:color="auto" w:fill="FFFFFF"/>
          <w:lang w:val="en-US" w:eastAsia="zh-CN"/>
          <w14:textFill>
            <w14:solidFill>
              <w14:schemeClr w14:val="tx1"/>
            </w14:solidFill>
          </w14:textFill>
        </w:rPr>
      </w:pPr>
      <w:r>
        <w:rPr>
          <w:rFonts w:hint="eastAsia" w:ascii="黑体" w:hAnsi="黑体" w:eastAsia="黑体" w:cs="黑体"/>
          <w:b/>
          <w:bCs/>
          <w:color w:val="000000" w:themeColor="text1"/>
          <w:sz w:val="30"/>
          <w:szCs w:val="30"/>
          <w:shd w:val="clear" w:color="auto" w:fill="FFFFFF"/>
          <w:lang w:val="en-US" w:eastAsia="zh-CN"/>
          <w14:textFill>
            <w14:solidFill>
              <w14:schemeClr w14:val="tx1"/>
            </w14:solidFill>
          </w14:textFill>
        </w:rPr>
        <w:t>5.产教融合</w:t>
      </w:r>
    </w:p>
    <w:p w14:paraId="16AFD03A">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lang w:val="en-US" w:eastAsia="zh-CN"/>
        </w:rPr>
      </w:pPr>
      <w:r>
        <w:rPr>
          <w:rFonts w:hint="eastAsia" w:ascii="宋体" w:hAnsi="宋体" w:eastAsia="宋体" w:cs="宋体"/>
          <w:color w:val="000000" w:themeColor="text1"/>
          <w:sz w:val="24"/>
          <w:szCs w:val="24"/>
          <w14:textFill>
            <w14:solidFill>
              <w14:schemeClr w14:val="tx1"/>
            </w14:solidFill>
          </w14:textFill>
        </w:rPr>
        <w:t>学校以“生产型”实训基地为载体，深耕产教融合，构建了校企双元育人长效机制。通过“引企入校”、共建产业学院和市域产教融合体，形成了“教学—生产—研发—服务”一体化模式。同时，推广现代学徒制，引入技能大师，贯通“中—高—企”培养路径，实现了人才培养与产业需求的精准对接，有效服务了区域产业发展。</w:t>
      </w:r>
    </w:p>
    <w:p w14:paraId="728EAFF5">
      <w:pPr>
        <w:keepNext w:val="0"/>
        <w:keepLines w:val="0"/>
        <w:pageBreakBefore w:val="0"/>
        <w:numPr>
          <w:ilvl w:val="0"/>
          <w:numId w:val="0"/>
        </w:numPr>
        <w:kinsoku/>
        <w:wordWrap/>
        <w:overflowPunct/>
        <w:topLinePunct w:val="0"/>
        <w:autoSpaceDE/>
        <w:autoSpaceDN/>
        <w:bidi w:val="0"/>
        <w:adjustRightInd/>
        <w:snapToGrid/>
        <w:spacing w:line="440" w:lineRule="exact"/>
        <w:ind w:firstLine="554" w:firstLineChars="200"/>
        <w:jc w:val="both"/>
        <w:textAlignment w:val="auto"/>
        <w:rPr>
          <w:rFonts w:hint="eastAsia" w:ascii="黑体" w:hAnsi="黑体" w:eastAsia="黑体" w:cs="黑体"/>
          <w:b w:val="0"/>
          <w:bCs w:val="0"/>
          <w:color w:val="000000" w:themeColor="text1"/>
          <w:spacing w:val="-2"/>
          <w:kern w:val="0"/>
          <w:position w:val="-2"/>
          <w:sz w:val="28"/>
          <w:szCs w:val="28"/>
          <w:lang w:val="en-US" w:eastAsia="zh-CN"/>
          <w14:textFill>
            <w14:solidFill>
              <w14:schemeClr w14:val="tx1"/>
            </w14:solidFill>
          </w14:textFill>
        </w:rPr>
      </w:pPr>
      <w:r>
        <w:rPr>
          <w:rFonts w:hint="eastAsia" w:ascii="黑体" w:hAnsi="黑体" w:eastAsia="黑体" w:cs="黑体"/>
          <w:b/>
          <w:bCs/>
          <w:color w:val="000000" w:themeColor="text1"/>
          <w:spacing w:val="-2"/>
          <w:kern w:val="0"/>
          <w:position w:val="-2"/>
          <w:sz w:val="28"/>
          <w:szCs w:val="28"/>
          <w14:textFill>
            <w14:solidFill>
              <w14:schemeClr w14:val="tx1"/>
            </w14:solidFill>
          </w14:textFill>
        </w:rPr>
        <w:t>5.1</w:t>
      </w:r>
      <w:r>
        <w:rPr>
          <w:rFonts w:hint="eastAsia" w:ascii="黑体" w:hAnsi="黑体" w:eastAsia="黑体" w:cs="黑体"/>
          <w:b/>
          <w:bCs/>
          <w:color w:val="000000" w:themeColor="text1"/>
          <w:spacing w:val="-2"/>
          <w:kern w:val="0"/>
          <w:position w:val="-2"/>
          <w:sz w:val="28"/>
          <w:szCs w:val="28"/>
          <w:lang w:val="en-US" w:eastAsia="zh-CN"/>
          <w14:textFill>
            <w14:solidFill>
              <w14:schemeClr w14:val="tx1"/>
            </w14:solidFill>
          </w14:textFill>
        </w:rPr>
        <w:t>校企双元育人</w:t>
      </w:r>
    </w:p>
    <w:p w14:paraId="05975747">
      <w:pPr>
        <w:pStyle w:val="2"/>
        <w:keepNext w:val="0"/>
        <w:keepLines w:val="0"/>
        <w:pageBreakBefore w:val="0"/>
        <w:widowControl w:val="0"/>
        <w:kinsoku/>
        <w:wordWrap/>
        <w:overflowPunct/>
        <w:topLinePunct w:val="0"/>
        <w:autoSpaceDE/>
        <w:autoSpaceDN/>
        <w:bidi w:val="0"/>
        <w:adjustRightInd/>
        <w:snapToGrid/>
        <w:spacing w:after="0"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为破解职业教育中学生实训经费不足、真实岗位稀缺的根本难题，我校立足产教融合，开创性地实施了实训基地的“企业化”变革。通过将汽修、数控等核心专业的实训基地进行工商注册，打造了集教学、生产、经营于一体的 “生产型”实训基地。这一模式将课堂直接延伸至车间，使设备与技术在完成教学任务的同时创造市场价值，形成了“教学支撑生产，生产反哺教学”的自我造血长效运行机制，从根本上保障了实训资源的可持续性，实现了学校育人质量与企业经济效益的共赢。</w:t>
      </w:r>
    </w:p>
    <w:p w14:paraId="190C7265">
      <w:pPr>
        <w:pStyle w:val="2"/>
        <w:keepNext w:val="0"/>
        <w:keepLines w:val="0"/>
        <w:pageBreakBefore w:val="0"/>
        <w:widowControl w:val="0"/>
        <w:kinsoku/>
        <w:wordWrap/>
        <w:overflowPunct/>
        <w:topLinePunct w:val="0"/>
        <w:autoSpaceDE/>
        <w:autoSpaceDN/>
        <w:bidi w:val="0"/>
        <w:adjustRightInd/>
        <w:snapToGrid/>
        <w:spacing w:after="0"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基于这一坚实基础，我校持续拓宽并深化校企合作的广度与深度。目前，已与</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0余家区域重点企业建立了稳固的合作关系，其中成功 “引企入校”5家，将真实的生产线引入校园。校企双方共同开发贴合岗位需求的课程体系、共建共享实习实训基地、互聘共培“双师型”师资队伍，构建了深度融合的协同育人共同体。通过广泛推行 “订单培养</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现代学徒制”与“工学交替” 等多元化人才培养模式，确保了教学过程与生产过程的无缝对接。合作成果显著</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企业累计提供优质实习工位3000余个，学生岗位实习专业对口率稳定在99% 以上，并为所有实习学生购买了足额保险，实现了安全实训全覆盖。学生的职业技能与综合素养得到大幅提升，在各级技能大赛中屡获佳绩，毕业生深受合作企业欢迎，就业质量与起薪水平显著高于区域平均水平。</w:t>
      </w:r>
    </w:p>
    <w:p w14:paraId="57217FFE">
      <w:pPr>
        <w:pStyle w:val="2"/>
        <w:keepNext w:val="0"/>
        <w:keepLines w:val="0"/>
        <w:pageBreakBefore w:val="0"/>
        <w:widowControl w:val="0"/>
        <w:kinsoku/>
        <w:wordWrap/>
        <w:overflowPunct/>
        <w:topLinePunct w:val="0"/>
        <w:autoSpaceDE/>
        <w:autoSpaceDN/>
        <w:bidi w:val="0"/>
        <w:adjustRightInd/>
        <w:snapToGrid/>
        <w:spacing w:after="0" w:line="440" w:lineRule="exact"/>
        <w:ind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在深度融合的实践中，我校与内蒙古农业大学、包头轻工职业技术学院及河套酒业集团共同探索构建了特色鲜明的中</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高</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企融合育人模式。该模式坚持以学生为培养主体，推动中职与高校在课程、人才培养方案上的衔接，并实现中职技能训练与企业岗位标准的融合；汇聚政府、高校、企业、学校四方合力，形成协同育人格局；最终系统化地实现了学校办学与产业需求、专业建设与行业发展、技能培养与升学就业、教学模式与岗位要求、课程内容与职业标准等五个关键维度的精准对接。这一模式有效贯通了中高职知识与校企实践技能，使我校成为区内高等院校与优质企业的可靠生源地，其示范效应吸引了30余所兄弟院校前来考察交流。</w:t>
      </w:r>
    </w:p>
    <w:p w14:paraId="64408A36">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实践证明，以“生产型”基地为实体依托，以深度校企合作为路径，以创新育人模式为核心的双元育人体系，成功锻造了一条行之有效的技术技能人才培养新路径。它不仅显著提升了人才培养的质量与适应性，也为区域产业转型升级提供了稳定的人力资源支撑，形成了可借鉴、可推广的职业教育产教融合特色范式。面向未来，我校将持续优化这一模式，深化数字化改造与内涵建设，致力于培养更多服务地方经济发展的能工巧匠，为我国职业教育的高质量发展贡献实践智慧。</w:t>
      </w:r>
    </w:p>
    <w:p w14:paraId="3CFF6655">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left"/>
        <w:textAlignment w:val="auto"/>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t>5.2现代学徒制试点</w:t>
      </w:r>
    </w:p>
    <w:p w14:paraId="6419C027">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学校依托杭锦后旗职教中心方圆制造有限公司、</w:t>
      </w:r>
      <w:r>
        <w:rPr>
          <w:rFonts w:hint="eastAsia" w:ascii="宋体" w:hAnsi="宋体" w:eastAsia="宋体" w:cs="宋体"/>
          <w:color w:val="000000" w:themeColor="text1"/>
          <w:sz w:val="24"/>
          <w:szCs w:val="24"/>
          <w:lang w:eastAsia="zh-CN"/>
          <w14:textFill>
            <w14:solidFill>
              <w14:schemeClr w14:val="tx1"/>
            </w14:solidFill>
          </w14:textFill>
        </w:rPr>
        <w:t>杭锦后旗职业教</w:t>
      </w:r>
      <w:r>
        <w:rPr>
          <w:rFonts w:hint="eastAsia" w:ascii="宋体" w:hAnsi="宋体" w:eastAsia="宋体" w:cs="宋体"/>
          <w:color w:val="auto"/>
          <w:sz w:val="24"/>
          <w:szCs w:val="24"/>
          <w:lang w:eastAsia="zh-CN"/>
        </w:rPr>
        <w:t>育中心</w:t>
      </w:r>
      <w:r>
        <w:rPr>
          <w:rFonts w:hint="eastAsia" w:ascii="宋体" w:hAnsi="宋体" w:eastAsia="宋体" w:cs="宋体"/>
          <w:color w:val="auto"/>
          <w:sz w:val="24"/>
          <w:szCs w:val="24"/>
        </w:rPr>
        <w:t>汽车科技服</w:t>
      </w:r>
      <w:r>
        <w:rPr>
          <w:rFonts w:hint="eastAsia" w:ascii="宋体" w:hAnsi="宋体" w:eastAsia="宋体" w:cs="宋体"/>
          <w:color w:val="000000" w:themeColor="text1"/>
          <w:sz w:val="24"/>
          <w:szCs w:val="24"/>
          <w14:textFill>
            <w14:solidFill>
              <w14:schemeClr w14:val="tx1"/>
            </w14:solidFill>
          </w14:textFill>
        </w:rPr>
        <w:t>务有限公司等校企共建实训基地，持续推进数控技术应用、汽车运用与维修专业的现代学徒制试点工作。通过积极宣传现代学徒制模式实施方案，引导擅长相关专业的学生走技能成才之路。目前已累计培养学徒制学生30余名，其中50%进入</w:t>
      </w:r>
      <w:r>
        <w:rPr>
          <w:rFonts w:hint="eastAsia" w:ascii="宋体" w:hAnsi="宋体" w:eastAsia="宋体" w:cs="宋体"/>
          <w:color w:val="000000" w:themeColor="text1"/>
          <w:sz w:val="24"/>
          <w:szCs w:val="24"/>
          <w:lang w:eastAsia="zh-CN"/>
          <w14:textFill>
            <w14:solidFill>
              <w14:schemeClr w14:val="tx1"/>
            </w14:solidFill>
          </w14:textFill>
        </w:rPr>
        <w:t>以</w:t>
      </w:r>
      <w:r>
        <w:rPr>
          <w:rFonts w:hint="eastAsia" w:ascii="宋体" w:hAnsi="宋体" w:eastAsia="宋体" w:cs="宋体"/>
          <w:color w:val="000000" w:themeColor="text1"/>
          <w:sz w:val="24"/>
          <w:szCs w:val="24"/>
          <w14:textFill>
            <w14:solidFill>
              <w14:schemeClr w14:val="tx1"/>
            </w14:solidFill>
          </w14:textFill>
        </w:rPr>
        <w:t>上企业就业，技能提升效果显著，获得了家长与用人单位的高度认可。每学期均有新生加入，学徒制已成为数控和汽修专业学生学习的重要途径</w:t>
      </w:r>
      <w:r>
        <w:rPr>
          <w:rFonts w:hint="eastAsia" w:ascii="宋体" w:hAnsi="宋体" w:eastAsia="宋体" w:cs="宋体"/>
          <w:color w:val="000000" w:themeColor="text1"/>
          <w:sz w:val="24"/>
          <w:szCs w:val="24"/>
          <w:lang w:val="en-US" w:eastAsia="zh-CN"/>
          <w14:textFill>
            <w14:solidFill>
              <w14:schemeClr w14:val="tx1"/>
            </w14:solidFill>
          </w14:textFill>
        </w:rPr>
        <w:t>之一</w:t>
      </w:r>
      <w:r>
        <w:rPr>
          <w:rFonts w:hint="eastAsia" w:ascii="宋体" w:hAnsi="宋体" w:eastAsia="宋体" w:cs="宋体"/>
          <w:color w:val="000000" w:themeColor="text1"/>
          <w:sz w:val="24"/>
          <w:szCs w:val="24"/>
          <w14:textFill>
            <w14:solidFill>
              <w14:schemeClr w14:val="tx1"/>
            </w14:solidFill>
          </w14:textFill>
        </w:rPr>
        <w:t>。</w:t>
      </w:r>
    </w:p>
    <w:p w14:paraId="75524EB3">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在管理上，学徒制实行学分制与弹性学制相结合的模式，学生以半工半读、分段培训的方式完成学业。根据学校《现代学徒制试点工作实施管理办法》，所有学习内容均转化为模块化课程与岗位技能项目，累计修满规定学分方可毕业。企业职工参加非全日制培训时，可按学分折算为全日制学时，成绩合格后可取得相应技能等级证书。</w:t>
      </w:r>
    </w:p>
    <w:p w14:paraId="55F66DCF">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color w:val="000000" w:themeColor="text1"/>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学校着力打造校企融合的“双师型”教学团队。教师坚持能力本位理念，持续更新教学内容，提升实践指导能力。企业技术骨干定期入校参与教学与技能指导，实现师资互补。同时，充分发挥校办企业和技能大师工作室的作用，组织学生赴本地加工企业技术服务部、汽车维修公司等进行现场观摩与实践训练，相关活动计入培训学时，在保障学徒权益与安全的前提下，有效提升人才培养质量。</w:t>
      </w:r>
    </w:p>
    <w:p w14:paraId="6FEE6660">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left"/>
        <w:textAlignment w:val="auto"/>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t>5.3集团化办学</w:t>
      </w:r>
    </w:p>
    <w:p w14:paraId="622F2BB7">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480"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学校秉持“为学生终身成长发展奠基”的办学理念，以人才培养模式和体制机制创新为突破口，积极探索“校企合作</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校校合作”及“政企校三全育人”新模式。学校深度参与巴彦淖尔市教育局主导的“专业共建、资源共享”校企联合式集团化办学，先后与本地</w:t>
      </w:r>
      <w:r>
        <w:rPr>
          <w:rFonts w:hint="eastAsia" w:ascii="宋体" w:hAnsi="宋体" w:eastAsia="宋体" w:cs="宋体"/>
          <w:color w:val="000000" w:themeColor="text1"/>
          <w:sz w:val="24"/>
          <w:szCs w:val="24"/>
          <w:lang w:val="en-US" w:eastAsia="zh-CN"/>
          <w14:textFill>
            <w14:solidFill>
              <w14:schemeClr w14:val="tx1"/>
            </w14:solidFill>
          </w14:textFill>
        </w:rPr>
        <w:t>6</w:t>
      </w:r>
      <w:r>
        <w:rPr>
          <w:rFonts w:hint="eastAsia" w:ascii="宋体" w:hAnsi="宋体" w:eastAsia="宋体" w:cs="宋体"/>
          <w:color w:val="000000" w:themeColor="text1"/>
          <w:sz w:val="24"/>
          <w:szCs w:val="24"/>
          <w14:textFill>
            <w14:solidFill>
              <w14:schemeClr w14:val="tx1"/>
            </w14:solidFill>
          </w14:textFill>
        </w:rPr>
        <w:t>0余家制造维修公司、学校、企业、医院、幼儿园等单位签订合作协议，有效整合区域优质资源，推动产教深度融合。同时，学校作为</w:t>
      </w:r>
      <w:r>
        <w:rPr>
          <w:rFonts w:hint="eastAsia" w:ascii="宋体" w:hAnsi="宋体" w:eastAsia="宋体" w:cs="宋体"/>
          <w:color w:val="000000" w:themeColor="text1"/>
          <w:sz w:val="24"/>
          <w:szCs w:val="24"/>
          <w:lang w:eastAsia="zh-CN"/>
          <w14:textFill>
            <w14:solidFill>
              <w14:schemeClr w14:val="tx1"/>
            </w14:solidFill>
          </w14:textFill>
        </w:rPr>
        <w:t>牵头单位</w:t>
      </w:r>
      <w:r>
        <w:rPr>
          <w:rFonts w:hint="eastAsia" w:ascii="宋体" w:hAnsi="宋体" w:eastAsia="宋体" w:cs="宋体"/>
          <w:color w:val="000000" w:themeColor="text1"/>
          <w:sz w:val="24"/>
          <w:szCs w:val="24"/>
          <w14:textFill>
            <w14:solidFill>
              <w14:schemeClr w14:val="tx1"/>
            </w14:solidFill>
          </w14:textFill>
        </w:rPr>
        <w:t>加入巴彦淖尔现代农牧业市域产教融合体，紧密对接地方产业发展需求，积极服务并助力当地农牧业企业升级与发展，为区域经济社会高质量发展提供了坚实的技术技能人才支撑。</w:t>
      </w:r>
    </w:p>
    <w:p w14:paraId="16EDA895">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left"/>
        <w:textAlignment w:val="auto"/>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t>5.4基地建设</w:t>
      </w:r>
    </w:p>
    <w:p w14:paraId="63AB9FC3">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2025学年，学校投入专项1000多万元资金，将政府新建的现代装备制造产业园一单元区域的6000多平方米规划为建筑和高、低压电工实训基地，紧密对接社会需求，对原有的14个校内实训基地进行升级改造和扩建，购买、更新了新能源汽车、可再生能源等实训设备，学校已形成了以16个校内实训基地为主体，全面服务各专业实训教学的硬件教学格局。</w:t>
      </w:r>
    </w:p>
    <w:p w14:paraId="4F9179A6">
      <w:pPr>
        <w:keepNext w:val="0"/>
        <w:keepLines w:val="0"/>
        <w:pageBreakBefore w:val="0"/>
        <w:widowControl/>
        <w:kinsoku/>
        <w:wordWrap/>
        <w:overflowPunct/>
        <w:topLinePunct w:val="0"/>
        <w:autoSpaceDE/>
        <w:autoSpaceDN/>
        <w:bidi w:val="0"/>
        <w:spacing w:line="440" w:lineRule="exact"/>
        <w:ind w:firstLine="480"/>
        <w:jc w:val="center"/>
        <w:rPr>
          <w:rFonts w:hint="eastAsia" w:ascii="宋体" w:hAnsi="宋体" w:eastAsia="宋体" w:cs="宋体"/>
          <w:b/>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5-1 校内实训基地一览表</w:t>
      </w:r>
    </w:p>
    <w:tbl>
      <w:tblPr>
        <w:tblStyle w:val="16"/>
        <w:tblW w:w="9178" w:type="dxa"/>
        <w:tblInd w:w="0" w:type="dxa"/>
        <w:shd w:val="clear" w:color="auto" w:fill="FFFFFF"/>
        <w:tblLayout w:type="fixed"/>
        <w:tblCellMar>
          <w:top w:w="0" w:type="dxa"/>
          <w:left w:w="0" w:type="dxa"/>
          <w:bottom w:w="0" w:type="dxa"/>
          <w:right w:w="0" w:type="dxa"/>
        </w:tblCellMar>
      </w:tblPr>
      <w:tblGrid>
        <w:gridCol w:w="576"/>
        <w:gridCol w:w="1991"/>
        <w:gridCol w:w="1172"/>
        <w:gridCol w:w="910"/>
        <w:gridCol w:w="2053"/>
        <w:gridCol w:w="2476"/>
      </w:tblGrid>
      <w:tr w14:paraId="2CADFE2D">
        <w:tblPrEx>
          <w:shd w:val="clear" w:color="auto" w:fill="FFFFFF"/>
          <w:tblCellMar>
            <w:top w:w="0" w:type="dxa"/>
            <w:left w:w="0" w:type="dxa"/>
            <w:bottom w:w="0" w:type="dxa"/>
            <w:right w:w="0" w:type="dxa"/>
          </w:tblCellMar>
        </w:tblPrEx>
        <w:trPr>
          <w:trHeight w:val="642" w:hRule="exact"/>
        </w:trPr>
        <w:tc>
          <w:tcPr>
            <w:tcW w:w="576"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7C761F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序号</w:t>
            </w:r>
          </w:p>
        </w:tc>
        <w:tc>
          <w:tcPr>
            <w:tcW w:w="1991"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6AD3EA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实训基地名称</w:t>
            </w:r>
          </w:p>
        </w:tc>
        <w:tc>
          <w:tcPr>
            <w:tcW w:w="1172"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66A117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基地面积（平方米）</w:t>
            </w:r>
          </w:p>
        </w:tc>
        <w:tc>
          <w:tcPr>
            <w:tcW w:w="910"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2F5855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工位数（个）</w:t>
            </w:r>
          </w:p>
        </w:tc>
        <w:tc>
          <w:tcPr>
            <w:tcW w:w="2053"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6A69AF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主要实训内容</w:t>
            </w:r>
          </w:p>
        </w:tc>
        <w:tc>
          <w:tcPr>
            <w:tcW w:w="2476" w:type="dxa"/>
            <w:tcBorders>
              <w:top w:val="single" w:color="4F81BD" w:sz="8" w:space="0"/>
              <w:left w:val="single" w:color="4F81BD" w:sz="8" w:space="0"/>
              <w:bottom w:val="single" w:color="4F81BD" w:sz="12" w:space="0"/>
              <w:right w:val="single" w:color="4F81BD" w:sz="8" w:space="0"/>
            </w:tcBorders>
            <w:shd w:val="clear" w:color="auto" w:fill="FFFFFF"/>
            <w:noWrap w:val="0"/>
            <w:tcMar>
              <w:top w:w="0" w:type="dxa"/>
              <w:left w:w="108" w:type="dxa"/>
              <w:bottom w:w="0" w:type="dxa"/>
              <w:right w:w="108" w:type="dxa"/>
            </w:tcMar>
            <w:vAlign w:val="center"/>
          </w:tcPr>
          <w:p w14:paraId="513AA1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主要服务专业</w:t>
            </w:r>
          </w:p>
        </w:tc>
      </w:tr>
      <w:tr w14:paraId="36AAA60A">
        <w:tblPrEx>
          <w:tblCellMar>
            <w:top w:w="0" w:type="dxa"/>
            <w:left w:w="0" w:type="dxa"/>
            <w:bottom w:w="0" w:type="dxa"/>
            <w:right w:w="0" w:type="dxa"/>
          </w:tblCellMar>
        </w:tblPrEx>
        <w:trPr>
          <w:trHeight w:val="641" w:hRule="exact"/>
        </w:trPr>
        <w:tc>
          <w:tcPr>
            <w:tcW w:w="576"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B57049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w:t>
            </w:r>
          </w:p>
        </w:tc>
        <w:tc>
          <w:tcPr>
            <w:tcW w:w="1991"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F88BA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数控加工技术专业实训基地（改建）</w:t>
            </w:r>
          </w:p>
        </w:tc>
        <w:tc>
          <w:tcPr>
            <w:tcW w:w="1172"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0E6A2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1276</w:t>
            </w:r>
          </w:p>
        </w:tc>
        <w:tc>
          <w:tcPr>
            <w:tcW w:w="910"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AA1C1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80</w:t>
            </w:r>
          </w:p>
        </w:tc>
        <w:tc>
          <w:tcPr>
            <w:tcW w:w="2053"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19E3D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数控加工、</w:t>
            </w:r>
          </w:p>
          <w:p w14:paraId="1AA50A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普车加工、</w:t>
            </w:r>
          </w:p>
        </w:tc>
        <w:tc>
          <w:tcPr>
            <w:tcW w:w="2476" w:type="dxa"/>
            <w:tcBorders>
              <w:top w:val="single" w:color="4F81BD" w:sz="12"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0C532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数控技术、机加工技术</w:t>
            </w:r>
          </w:p>
        </w:tc>
      </w:tr>
      <w:tr w14:paraId="2ED27B0E">
        <w:tblPrEx>
          <w:tblCellMar>
            <w:top w:w="0" w:type="dxa"/>
            <w:left w:w="0" w:type="dxa"/>
            <w:bottom w:w="0" w:type="dxa"/>
            <w:right w:w="0" w:type="dxa"/>
          </w:tblCellMar>
        </w:tblPrEx>
        <w:trPr>
          <w:trHeight w:val="437" w:hRule="exact"/>
        </w:trPr>
        <w:tc>
          <w:tcPr>
            <w:tcW w:w="5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7A6E1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w:t>
            </w:r>
          </w:p>
        </w:tc>
        <w:tc>
          <w:tcPr>
            <w:tcW w:w="199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FBA54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刀具实训基地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B69AA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400</w:t>
            </w:r>
          </w:p>
        </w:tc>
        <w:tc>
          <w:tcPr>
            <w:tcW w:w="91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7290E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15</w:t>
            </w:r>
          </w:p>
        </w:tc>
        <w:tc>
          <w:tcPr>
            <w:tcW w:w="205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B34953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数控磨床、线切割</w:t>
            </w:r>
          </w:p>
        </w:tc>
        <w:tc>
          <w:tcPr>
            <w:tcW w:w="24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8C355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刀具生产</w:t>
            </w:r>
          </w:p>
        </w:tc>
      </w:tr>
      <w:tr w14:paraId="4E616F9F">
        <w:tblPrEx>
          <w:tblCellMar>
            <w:top w:w="0" w:type="dxa"/>
            <w:left w:w="0" w:type="dxa"/>
            <w:bottom w:w="0" w:type="dxa"/>
            <w:right w:w="0" w:type="dxa"/>
          </w:tblCellMar>
        </w:tblPrEx>
        <w:trPr>
          <w:trHeight w:val="549" w:hRule="exact"/>
        </w:trPr>
        <w:tc>
          <w:tcPr>
            <w:tcW w:w="5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D34CBD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3</w:t>
            </w:r>
          </w:p>
        </w:tc>
        <w:tc>
          <w:tcPr>
            <w:tcW w:w="199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4B614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焊接实训基地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AED83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300</w:t>
            </w:r>
          </w:p>
        </w:tc>
        <w:tc>
          <w:tcPr>
            <w:tcW w:w="91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CCBCA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55</w:t>
            </w:r>
          </w:p>
        </w:tc>
        <w:tc>
          <w:tcPr>
            <w:tcW w:w="205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CC3457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手工焊、氩弧焊、</w:t>
            </w:r>
          </w:p>
          <w:p w14:paraId="52101A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二氧化碳焊</w:t>
            </w:r>
          </w:p>
        </w:tc>
        <w:tc>
          <w:tcPr>
            <w:tcW w:w="24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B16EA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电焊、钳工</w:t>
            </w:r>
          </w:p>
        </w:tc>
      </w:tr>
      <w:tr w14:paraId="00AA939A">
        <w:tblPrEx>
          <w:tblCellMar>
            <w:top w:w="0" w:type="dxa"/>
            <w:left w:w="0" w:type="dxa"/>
            <w:bottom w:w="0" w:type="dxa"/>
            <w:right w:w="0" w:type="dxa"/>
          </w:tblCellMar>
        </w:tblPrEx>
        <w:trPr>
          <w:trHeight w:val="572" w:hRule="exact"/>
        </w:trPr>
        <w:tc>
          <w:tcPr>
            <w:tcW w:w="5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676E7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4</w:t>
            </w:r>
          </w:p>
        </w:tc>
        <w:tc>
          <w:tcPr>
            <w:tcW w:w="199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39B14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both"/>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机电实训基地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C1751D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1000</w:t>
            </w:r>
          </w:p>
        </w:tc>
        <w:tc>
          <w:tcPr>
            <w:tcW w:w="91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390A4E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255</w:t>
            </w:r>
          </w:p>
        </w:tc>
        <w:tc>
          <w:tcPr>
            <w:tcW w:w="205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0587F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电工、电力拖动、维修电工、PLC</w:t>
            </w:r>
          </w:p>
        </w:tc>
        <w:tc>
          <w:tcPr>
            <w:tcW w:w="24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594EE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电器控制与运行、机电技术</w:t>
            </w:r>
          </w:p>
        </w:tc>
      </w:tr>
      <w:tr w14:paraId="041D6919">
        <w:tblPrEx>
          <w:tblCellMar>
            <w:top w:w="0" w:type="dxa"/>
            <w:left w:w="0" w:type="dxa"/>
            <w:bottom w:w="0" w:type="dxa"/>
            <w:right w:w="0" w:type="dxa"/>
          </w:tblCellMar>
        </w:tblPrEx>
        <w:trPr>
          <w:trHeight w:val="619" w:hRule="exact"/>
        </w:trPr>
        <w:tc>
          <w:tcPr>
            <w:tcW w:w="5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14C7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5</w:t>
            </w:r>
          </w:p>
        </w:tc>
        <w:tc>
          <w:tcPr>
            <w:tcW w:w="199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CD77E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信息技术实训基地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FD2F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600</w:t>
            </w:r>
          </w:p>
        </w:tc>
        <w:tc>
          <w:tcPr>
            <w:tcW w:w="91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FF2AD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320</w:t>
            </w:r>
          </w:p>
        </w:tc>
        <w:tc>
          <w:tcPr>
            <w:tcW w:w="205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5B219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网站建设、影视后期、网络布线</w:t>
            </w:r>
          </w:p>
        </w:tc>
        <w:tc>
          <w:tcPr>
            <w:tcW w:w="24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FC7730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网络工程、CAD、动漫制作</w:t>
            </w:r>
          </w:p>
        </w:tc>
      </w:tr>
      <w:tr w14:paraId="02188BEC">
        <w:tblPrEx>
          <w:tblCellMar>
            <w:top w:w="0" w:type="dxa"/>
            <w:left w:w="0" w:type="dxa"/>
            <w:bottom w:w="0" w:type="dxa"/>
            <w:right w:w="0" w:type="dxa"/>
          </w:tblCellMar>
        </w:tblPrEx>
        <w:trPr>
          <w:trHeight w:val="541" w:hRule="exact"/>
        </w:trPr>
        <w:tc>
          <w:tcPr>
            <w:tcW w:w="5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9F0A8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6</w:t>
            </w:r>
          </w:p>
        </w:tc>
        <w:tc>
          <w:tcPr>
            <w:tcW w:w="199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925C3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幼儿保育实训基地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DAD1D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450</w:t>
            </w:r>
          </w:p>
        </w:tc>
        <w:tc>
          <w:tcPr>
            <w:tcW w:w="91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14806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245</w:t>
            </w:r>
          </w:p>
        </w:tc>
        <w:tc>
          <w:tcPr>
            <w:tcW w:w="205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4FD38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钢琴、电子琴、</w:t>
            </w:r>
          </w:p>
          <w:p w14:paraId="0B3F01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舞蹈、幼儿照护</w:t>
            </w:r>
          </w:p>
        </w:tc>
        <w:tc>
          <w:tcPr>
            <w:tcW w:w="24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FFF19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学前教育</w:t>
            </w:r>
          </w:p>
        </w:tc>
      </w:tr>
      <w:tr w14:paraId="386E59AA">
        <w:tblPrEx>
          <w:tblCellMar>
            <w:top w:w="0" w:type="dxa"/>
            <w:left w:w="0" w:type="dxa"/>
            <w:bottom w:w="0" w:type="dxa"/>
            <w:right w:w="0" w:type="dxa"/>
          </w:tblCellMar>
        </w:tblPrEx>
        <w:trPr>
          <w:trHeight w:val="627" w:hRule="exact"/>
        </w:trPr>
        <w:tc>
          <w:tcPr>
            <w:tcW w:w="5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FB771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7</w:t>
            </w:r>
          </w:p>
        </w:tc>
        <w:tc>
          <w:tcPr>
            <w:tcW w:w="199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19EA4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新能源实训基地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0BB81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1600</w:t>
            </w:r>
          </w:p>
        </w:tc>
        <w:tc>
          <w:tcPr>
            <w:tcW w:w="91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3B1F2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380</w:t>
            </w:r>
          </w:p>
        </w:tc>
        <w:tc>
          <w:tcPr>
            <w:tcW w:w="205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8E890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汽修美容、机修、新能源汽车维修</w:t>
            </w:r>
          </w:p>
        </w:tc>
        <w:tc>
          <w:tcPr>
            <w:tcW w:w="24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107DF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汽修专业</w:t>
            </w:r>
          </w:p>
        </w:tc>
      </w:tr>
      <w:tr w14:paraId="5B8406BA">
        <w:tblPrEx>
          <w:tblCellMar>
            <w:top w:w="0" w:type="dxa"/>
            <w:left w:w="0" w:type="dxa"/>
            <w:bottom w:w="0" w:type="dxa"/>
            <w:right w:w="0" w:type="dxa"/>
          </w:tblCellMar>
        </w:tblPrEx>
        <w:trPr>
          <w:trHeight w:val="584" w:hRule="exact"/>
        </w:trPr>
        <w:tc>
          <w:tcPr>
            <w:tcW w:w="5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3D119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8</w:t>
            </w:r>
          </w:p>
        </w:tc>
        <w:tc>
          <w:tcPr>
            <w:tcW w:w="199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261FC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酒店管理实训基地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DEF90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500</w:t>
            </w:r>
          </w:p>
        </w:tc>
        <w:tc>
          <w:tcPr>
            <w:tcW w:w="91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C5C5EC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85</w:t>
            </w:r>
          </w:p>
        </w:tc>
        <w:tc>
          <w:tcPr>
            <w:tcW w:w="205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2EEA3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中式、西式餐厅、</w:t>
            </w:r>
          </w:p>
          <w:p w14:paraId="735784F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 xml:space="preserve"> 旅游实景模拟</w:t>
            </w:r>
          </w:p>
        </w:tc>
        <w:tc>
          <w:tcPr>
            <w:tcW w:w="24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FF2B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旅游</w:t>
            </w:r>
          </w:p>
        </w:tc>
      </w:tr>
      <w:tr w14:paraId="57FE3C4A">
        <w:tblPrEx>
          <w:tblCellMar>
            <w:top w:w="0" w:type="dxa"/>
            <w:left w:w="0" w:type="dxa"/>
            <w:bottom w:w="0" w:type="dxa"/>
            <w:right w:w="0" w:type="dxa"/>
          </w:tblCellMar>
        </w:tblPrEx>
        <w:trPr>
          <w:trHeight w:val="439" w:hRule="exact"/>
        </w:trPr>
        <w:tc>
          <w:tcPr>
            <w:tcW w:w="5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DD04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9</w:t>
            </w:r>
          </w:p>
        </w:tc>
        <w:tc>
          <w:tcPr>
            <w:tcW w:w="199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B087B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现代农艺实训基地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7F9A9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210</w:t>
            </w:r>
          </w:p>
        </w:tc>
        <w:tc>
          <w:tcPr>
            <w:tcW w:w="91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6B9CB0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95</w:t>
            </w:r>
          </w:p>
        </w:tc>
        <w:tc>
          <w:tcPr>
            <w:tcW w:w="205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9F230B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培育实验、栽培</w:t>
            </w:r>
          </w:p>
        </w:tc>
        <w:tc>
          <w:tcPr>
            <w:tcW w:w="24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793026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现代农艺技术</w:t>
            </w:r>
          </w:p>
        </w:tc>
      </w:tr>
      <w:tr w14:paraId="4DBBEE87">
        <w:tblPrEx>
          <w:tblCellMar>
            <w:top w:w="0" w:type="dxa"/>
            <w:left w:w="0" w:type="dxa"/>
            <w:bottom w:w="0" w:type="dxa"/>
            <w:right w:w="0" w:type="dxa"/>
          </w:tblCellMar>
        </w:tblPrEx>
        <w:trPr>
          <w:trHeight w:val="432" w:hRule="exact"/>
        </w:trPr>
        <w:tc>
          <w:tcPr>
            <w:tcW w:w="5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80165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10</w:t>
            </w:r>
          </w:p>
        </w:tc>
        <w:tc>
          <w:tcPr>
            <w:tcW w:w="199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E37D7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畜禽生产实训基地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85802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150</w:t>
            </w:r>
          </w:p>
        </w:tc>
        <w:tc>
          <w:tcPr>
            <w:tcW w:w="91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120BE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60</w:t>
            </w:r>
          </w:p>
        </w:tc>
        <w:tc>
          <w:tcPr>
            <w:tcW w:w="205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C7B3B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农学实验</w:t>
            </w:r>
          </w:p>
        </w:tc>
        <w:tc>
          <w:tcPr>
            <w:tcW w:w="24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600FA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畜牧</w:t>
            </w:r>
          </w:p>
        </w:tc>
      </w:tr>
      <w:tr w14:paraId="665190AF">
        <w:tblPrEx>
          <w:tblCellMar>
            <w:top w:w="0" w:type="dxa"/>
            <w:left w:w="0" w:type="dxa"/>
            <w:bottom w:w="0" w:type="dxa"/>
            <w:right w:w="0" w:type="dxa"/>
          </w:tblCellMar>
        </w:tblPrEx>
        <w:trPr>
          <w:trHeight w:val="567" w:hRule="exact"/>
        </w:trPr>
        <w:tc>
          <w:tcPr>
            <w:tcW w:w="5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AD07C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11</w:t>
            </w:r>
          </w:p>
        </w:tc>
        <w:tc>
          <w:tcPr>
            <w:tcW w:w="199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0F759E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财会实训基地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9CC70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120</w:t>
            </w:r>
          </w:p>
        </w:tc>
        <w:tc>
          <w:tcPr>
            <w:tcW w:w="91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252D2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80</w:t>
            </w:r>
          </w:p>
        </w:tc>
        <w:tc>
          <w:tcPr>
            <w:tcW w:w="205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DBFB4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手工会计、点钞、</w:t>
            </w:r>
          </w:p>
          <w:p w14:paraId="25E412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电算化</w:t>
            </w:r>
          </w:p>
        </w:tc>
        <w:tc>
          <w:tcPr>
            <w:tcW w:w="24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09EEE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会计</w:t>
            </w:r>
          </w:p>
        </w:tc>
      </w:tr>
      <w:tr w14:paraId="35CB3C8A">
        <w:tblPrEx>
          <w:tblCellMar>
            <w:top w:w="0" w:type="dxa"/>
            <w:left w:w="0" w:type="dxa"/>
            <w:bottom w:w="0" w:type="dxa"/>
            <w:right w:w="0" w:type="dxa"/>
          </w:tblCellMar>
        </w:tblPrEx>
        <w:trPr>
          <w:trHeight w:val="380" w:hRule="exact"/>
        </w:trPr>
        <w:tc>
          <w:tcPr>
            <w:tcW w:w="5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D94F6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12</w:t>
            </w:r>
          </w:p>
        </w:tc>
        <w:tc>
          <w:tcPr>
            <w:tcW w:w="199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341C57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护理实训基地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445AC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600</w:t>
            </w:r>
          </w:p>
        </w:tc>
        <w:tc>
          <w:tcPr>
            <w:tcW w:w="91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832EE2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170</w:t>
            </w:r>
          </w:p>
        </w:tc>
        <w:tc>
          <w:tcPr>
            <w:tcW w:w="205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73166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8个实训室</w:t>
            </w:r>
          </w:p>
        </w:tc>
        <w:tc>
          <w:tcPr>
            <w:tcW w:w="24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BAF0A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各种医学实训室</w:t>
            </w:r>
          </w:p>
        </w:tc>
      </w:tr>
      <w:tr w14:paraId="4B576DC2">
        <w:tblPrEx>
          <w:tblCellMar>
            <w:top w:w="0" w:type="dxa"/>
            <w:left w:w="0" w:type="dxa"/>
            <w:bottom w:w="0" w:type="dxa"/>
            <w:right w:w="0" w:type="dxa"/>
          </w:tblCellMar>
        </w:tblPrEx>
        <w:trPr>
          <w:trHeight w:val="610" w:hRule="exact"/>
        </w:trPr>
        <w:tc>
          <w:tcPr>
            <w:tcW w:w="5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19993B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13</w:t>
            </w:r>
          </w:p>
        </w:tc>
        <w:tc>
          <w:tcPr>
            <w:tcW w:w="1991"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06D37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机械装配实训基地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612B8B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450</w:t>
            </w:r>
          </w:p>
        </w:tc>
        <w:tc>
          <w:tcPr>
            <w:tcW w:w="91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9F54B8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40</w:t>
            </w:r>
          </w:p>
        </w:tc>
        <w:tc>
          <w:tcPr>
            <w:tcW w:w="205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5C511B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钳工、液压与气动技能训练等实训室</w:t>
            </w:r>
          </w:p>
        </w:tc>
        <w:tc>
          <w:tcPr>
            <w:tcW w:w="24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EA7D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液压与气动、机械钳工</w:t>
            </w:r>
          </w:p>
        </w:tc>
      </w:tr>
      <w:tr w14:paraId="6937F123">
        <w:tblPrEx>
          <w:tblCellMar>
            <w:top w:w="0" w:type="dxa"/>
            <w:left w:w="0" w:type="dxa"/>
            <w:bottom w:w="0" w:type="dxa"/>
            <w:right w:w="0" w:type="dxa"/>
          </w:tblCellMar>
        </w:tblPrEx>
        <w:trPr>
          <w:trHeight w:val="458" w:hRule="exact"/>
        </w:trPr>
        <w:tc>
          <w:tcPr>
            <w:tcW w:w="5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9A803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14</w:t>
            </w:r>
          </w:p>
        </w:tc>
        <w:tc>
          <w:tcPr>
            <w:tcW w:w="199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3700A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现代农牧实训基地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5A2F4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2844</w:t>
            </w:r>
          </w:p>
        </w:tc>
        <w:tc>
          <w:tcPr>
            <w:tcW w:w="91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C9F31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20</w:t>
            </w:r>
          </w:p>
        </w:tc>
        <w:tc>
          <w:tcPr>
            <w:tcW w:w="205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0627DED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种植、繁育试验区</w:t>
            </w:r>
          </w:p>
        </w:tc>
        <w:tc>
          <w:tcPr>
            <w:tcW w:w="24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34933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培育、养殖、繁育</w:t>
            </w:r>
          </w:p>
        </w:tc>
      </w:tr>
      <w:tr w14:paraId="3709CE9F">
        <w:tblPrEx>
          <w:tblCellMar>
            <w:top w:w="0" w:type="dxa"/>
            <w:left w:w="0" w:type="dxa"/>
            <w:bottom w:w="0" w:type="dxa"/>
            <w:right w:w="0" w:type="dxa"/>
          </w:tblCellMar>
        </w:tblPrEx>
        <w:trPr>
          <w:trHeight w:val="422" w:hRule="exact"/>
        </w:trPr>
        <w:tc>
          <w:tcPr>
            <w:tcW w:w="5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2BD0C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15</w:t>
            </w:r>
          </w:p>
        </w:tc>
        <w:tc>
          <w:tcPr>
            <w:tcW w:w="199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2AC9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酿酒实训基地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BDECA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1600</w:t>
            </w:r>
          </w:p>
        </w:tc>
        <w:tc>
          <w:tcPr>
            <w:tcW w:w="91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1FF9B5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60</w:t>
            </w:r>
          </w:p>
        </w:tc>
        <w:tc>
          <w:tcPr>
            <w:tcW w:w="205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7B5EBD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白酒、啤酒、葡萄酒等</w:t>
            </w:r>
          </w:p>
        </w:tc>
        <w:tc>
          <w:tcPr>
            <w:tcW w:w="24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5ADA97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现代农艺技术</w:t>
            </w:r>
          </w:p>
        </w:tc>
      </w:tr>
      <w:tr w14:paraId="27CBEAAD">
        <w:tblPrEx>
          <w:tblCellMar>
            <w:top w:w="0" w:type="dxa"/>
            <w:left w:w="0" w:type="dxa"/>
            <w:bottom w:w="0" w:type="dxa"/>
            <w:right w:w="0" w:type="dxa"/>
          </w:tblCellMar>
        </w:tblPrEx>
        <w:trPr>
          <w:trHeight w:val="623" w:hRule="exact"/>
        </w:trPr>
        <w:tc>
          <w:tcPr>
            <w:tcW w:w="5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A2D7E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16</w:t>
            </w:r>
          </w:p>
        </w:tc>
        <w:tc>
          <w:tcPr>
            <w:tcW w:w="1991"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42CFE4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高压电实训基地</w:t>
            </w:r>
          </w:p>
        </w:tc>
        <w:tc>
          <w:tcPr>
            <w:tcW w:w="1172"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A38F5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6000</w:t>
            </w:r>
          </w:p>
        </w:tc>
        <w:tc>
          <w:tcPr>
            <w:tcW w:w="910"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265C69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50</w:t>
            </w:r>
          </w:p>
        </w:tc>
        <w:tc>
          <w:tcPr>
            <w:tcW w:w="2053"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368F97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外墙升降、高压电通断实训台</w:t>
            </w:r>
          </w:p>
        </w:tc>
        <w:tc>
          <w:tcPr>
            <w:tcW w:w="2476" w:type="dxa"/>
            <w:tcBorders>
              <w:top w:val="single" w:color="4F81BD" w:sz="8" w:space="0"/>
              <w:left w:val="single" w:color="4F81BD" w:sz="8" w:space="0"/>
              <w:bottom w:val="single" w:color="4F81BD" w:sz="8" w:space="0"/>
              <w:right w:val="single" w:color="4F81BD" w:sz="8" w:space="0"/>
            </w:tcBorders>
            <w:shd w:val="clear" w:color="auto" w:fill="FFFFFF"/>
            <w:noWrap w:val="0"/>
            <w:tcMar>
              <w:top w:w="0" w:type="dxa"/>
              <w:left w:w="108" w:type="dxa"/>
              <w:bottom w:w="0" w:type="dxa"/>
              <w:right w:w="108" w:type="dxa"/>
            </w:tcMar>
            <w:vAlign w:val="center"/>
          </w:tcPr>
          <w:p w14:paraId="6F00C0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机电</w:t>
            </w:r>
          </w:p>
        </w:tc>
      </w:tr>
      <w:tr w14:paraId="2D2FC5E4">
        <w:tblPrEx>
          <w:tblCellMar>
            <w:top w:w="0" w:type="dxa"/>
            <w:left w:w="0" w:type="dxa"/>
            <w:bottom w:w="0" w:type="dxa"/>
            <w:right w:w="0" w:type="dxa"/>
          </w:tblCellMar>
        </w:tblPrEx>
        <w:trPr>
          <w:trHeight w:val="528" w:hRule="exact"/>
        </w:trPr>
        <w:tc>
          <w:tcPr>
            <w:tcW w:w="2567" w:type="dxa"/>
            <w:gridSpan w:val="2"/>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BA6CF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仿宋" w:hAnsi="仿宋" w:eastAsia="仿宋" w:cs="仿宋"/>
                <w:color w:val="000000" w:themeColor="text1"/>
                <w:kern w:val="2"/>
                <w:sz w:val="21"/>
                <w:szCs w:val="21"/>
                <w:lang w:val="en-US" w:eastAsia="zh-CN" w:bidi="ar-SA"/>
                <w14:textFill>
                  <w14:solidFill>
                    <w14:schemeClr w14:val="tx1"/>
                  </w14:solidFill>
                </w14:textFill>
              </w:rPr>
            </w:pPr>
            <w:r>
              <w:rPr>
                <w:rFonts w:hint="eastAsia" w:ascii="仿宋" w:hAnsi="仿宋" w:eastAsia="仿宋" w:cs="仿宋"/>
                <w:color w:val="000000" w:themeColor="text1"/>
                <w:kern w:val="2"/>
                <w:sz w:val="21"/>
                <w:szCs w:val="21"/>
                <w:lang w:val="en-US" w:eastAsia="zh-CN" w:bidi="ar-SA"/>
                <w14:textFill>
                  <w14:solidFill>
                    <w14:schemeClr w14:val="tx1"/>
                  </w14:solidFill>
                </w14:textFill>
              </w:rPr>
              <w:t>合计</w:t>
            </w:r>
          </w:p>
        </w:tc>
        <w:tc>
          <w:tcPr>
            <w:tcW w:w="1172"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66DC88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仿宋" w:hAnsi="仿宋" w:eastAsia="仿宋" w:cs="仿宋"/>
                <w:color w:val="000000" w:themeColor="text1"/>
                <w:kern w:val="2"/>
                <w:sz w:val="21"/>
                <w:szCs w:val="21"/>
                <w:lang w:val="en-US" w:eastAsia="zh-CN" w:bidi="ar-SA"/>
                <w14:textFill>
                  <w14:solidFill>
                    <w14:schemeClr w14:val="tx1"/>
                  </w14:solidFill>
                </w14:textFill>
              </w:rPr>
            </w:pPr>
            <w:r>
              <w:rPr>
                <w:rFonts w:hint="eastAsia" w:ascii="仿宋" w:hAnsi="仿宋" w:eastAsia="仿宋" w:cs="仿宋"/>
                <w:color w:val="000000" w:themeColor="text1"/>
                <w:kern w:val="2"/>
                <w:sz w:val="21"/>
                <w:szCs w:val="21"/>
                <w:lang w:val="en-US" w:eastAsia="zh-CN" w:bidi="ar-SA"/>
                <w14:textFill>
                  <w14:solidFill>
                    <w14:schemeClr w14:val="tx1"/>
                  </w14:solidFill>
                </w14:textFill>
              </w:rPr>
              <w:t>18350</w:t>
            </w:r>
          </w:p>
        </w:tc>
        <w:tc>
          <w:tcPr>
            <w:tcW w:w="910"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2E39AC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default" w:ascii="仿宋" w:hAnsi="仿宋" w:eastAsia="仿宋" w:cs="仿宋"/>
                <w:color w:val="000000" w:themeColor="text1"/>
                <w:kern w:val="2"/>
                <w:sz w:val="21"/>
                <w:szCs w:val="21"/>
                <w:lang w:val="en-US" w:eastAsia="zh-CN" w:bidi="ar-SA"/>
                <w14:textFill>
                  <w14:solidFill>
                    <w14:schemeClr w14:val="tx1"/>
                  </w14:solidFill>
                </w14:textFill>
              </w:rPr>
            </w:pPr>
            <w:r>
              <w:rPr>
                <w:rFonts w:hint="eastAsia" w:ascii="仿宋" w:hAnsi="仿宋" w:eastAsia="仿宋" w:cs="仿宋"/>
                <w:color w:val="000000" w:themeColor="text1"/>
                <w:kern w:val="2"/>
                <w:sz w:val="21"/>
                <w:szCs w:val="21"/>
                <w:lang w:val="en-US" w:eastAsia="zh-CN" w:bidi="ar-SA"/>
                <w14:textFill>
                  <w14:solidFill>
                    <w14:schemeClr w14:val="tx1"/>
                  </w14:solidFill>
                </w14:textFill>
              </w:rPr>
              <w:t>2010</w:t>
            </w:r>
          </w:p>
        </w:tc>
        <w:tc>
          <w:tcPr>
            <w:tcW w:w="2053"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4FE646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仿宋" w:hAnsi="仿宋" w:eastAsia="仿宋" w:cs="仿宋"/>
                <w:color w:val="000000" w:themeColor="text1"/>
                <w:kern w:val="2"/>
                <w:sz w:val="21"/>
                <w:szCs w:val="21"/>
                <w:lang w:val="en-US" w:eastAsia="zh-CN" w:bidi="ar-SA"/>
                <w14:textFill>
                  <w14:solidFill>
                    <w14:schemeClr w14:val="tx1"/>
                  </w14:solidFill>
                </w14:textFill>
              </w:rPr>
            </w:pPr>
            <w:r>
              <w:rPr>
                <w:rFonts w:hint="eastAsia" w:ascii="仿宋" w:hAnsi="仿宋" w:eastAsia="仿宋" w:cs="仿宋"/>
                <w:color w:val="000000" w:themeColor="text1"/>
                <w:kern w:val="2"/>
                <w:sz w:val="21"/>
                <w:szCs w:val="21"/>
                <w:lang w:val="en-US" w:eastAsia="zh-CN" w:bidi="ar-SA"/>
                <w14:textFill>
                  <w14:solidFill>
                    <w14:schemeClr w14:val="tx1"/>
                  </w14:solidFill>
                </w14:textFill>
              </w:rPr>
              <w:t>　</w:t>
            </w:r>
          </w:p>
        </w:tc>
        <w:tc>
          <w:tcPr>
            <w:tcW w:w="2476" w:type="dxa"/>
            <w:tcBorders>
              <w:top w:val="single" w:color="4F81BD" w:sz="8" w:space="0"/>
              <w:left w:val="single" w:color="4F81BD" w:sz="8" w:space="0"/>
              <w:bottom w:val="single" w:color="4F81BD" w:sz="8" w:space="0"/>
              <w:right w:val="single" w:color="4F81BD" w:sz="8" w:space="0"/>
            </w:tcBorders>
            <w:shd w:val="clear" w:color="auto" w:fill="DBE5F1"/>
            <w:noWrap w:val="0"/>
            <w:tcMar>
              <w:top w:w="0" w:type="dxa"/>
              <w:left w:w="108" w:type="dxa"/>
              <w:bottom w:w="0" w:type="dxa"/>
              <w:right w:w="108" w:type="dxa"/>
            </w:tcMar>
            <w:vAlign w:val="center"/>
          </w:tcPr>
          <w:p w14:paraId="399FE93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exact"/>
              <w:ind w:left="0" w:right="0"/>
              <w:jc w:val="center"/>
              <w:textAlignment w:val="auto"/>
              <w:rPr>
                <w:rFonts w:hint="eastAsia" w:ascii="仿宋" w:hAnsi="仿宋" w:eastAsia="仿宋" w:cs="仿宋"/>
                <w:color w:val="000000" w:themeColor="text1"/>
                <w:kern w:val="2"/>
                <w:sz w:val="21"/>
                <w:szCs w:val="21"/>
                <w:lang w:val="en-US" w:eastAsia="zh-CN" w:bidi="ar-SA"/>
                <w14:textFill>
                  <w14:solidFill>
                    <w14:schemeClr w14:val="tx1"/>
                  </w14:solidFill>
                </w14:textFill>
              </w:rPr>
            </w:pPr>
            <w:r>
              <w:rPr>
                <w:rFonts w:hint="eastAsia" w:ascii="仿宋" w:hAnsi="仿宋" w:eastAsia="仿宋" w:cs="仿宋"/>
                <w:color w:val="000000" w:themeColor="text1"/>
                <w:kern w:val="2"/>
                <w:sz w:val="21"/>
                <w:szCs w:val="21"/>
                <w:lang w:val="en-US" w:eastAsia="zh-CN" w:bidi="ar-SA"/>
                <w14:textFill>
                  <w14:solidFill>
                    <w14:schemeClr w14:val="tx1"/>
                  </w14:solidFill>
                </w14:textFill>
              </w:rPr>
              <w:t>　</w:t>
            </w:r>
          </w:p>
        </w:tc>
      </w:tr>
    </w:tbl>
    <w:p w14:paraId="7BEE7AC5">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left"/>
        <w:textAlignment w:val="auto"/>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t>5.5产业学院</w:t>
      </w:r>
    </w:p>
    <w:p w14:paraId="6409FE9D">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产业学院以创新创业能力提升为核心，依托中央财政专项支持建设的8000多平方米产业学院大楼，推动计算机、数控、机电等专业与产业生产深度融合，实现产教协同发展。</w:t>
      </w:r>
    </w:p>
    <w:p w14:paraId="0D8B3348">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一是建设对接产业的专业体系。紧密围绕行业企业产业链，校企共建共管，重点打造数控加工技术、护理技术、机械制造及其自动化、农作物生产技术、计算机应用技术5个改造升级试点专业，通过示范引领和资源共享，带动全校专业建设水平提升。</w:t>
      </w:r>
    </w:p>
    <w:p w14:paraId="6EF33AF8">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二是创新协同育人培养模式。以岗位需求和职业能力为导向，校企共同制定人才培养方案、开发课程资源、实施培养过程、评价培养质量，重构毕业要求、课程体系和教学评价方式，推动专业链与产业链对接、教学过程与生产过程融合，形成产教深度融合的多方协同育人机制。</w:t>
      </w:r>
    </w:p>
    <w:p w14:paraId="78AFFFA5">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三是构建校企合作的课程体系与教学模式。整合专业课程与实训实践环节，形成突出实践能力培养的应用型课程群。依据行业企业需求推进课程改革，推动课程内容与行业标准、生产流程科学对接，建设一批高质量校企合作课程与教材。依托企业真实项目与技术革新，增加综合性实践比重，利用生产线开展浸润式实景教学，全面提升学生解决复杂问题的能力和产业认知水平。</w:t>
      </w:r>
    </w:p>
    <w:p w14:paraId="4E397CD2">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left"/>
        <w:textAlignment w:val="auto"/>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t>5.6市域产教联合体建设</w:t>
      </w:r>
    </w:p>
    <w:p w14:paraId="64E091D2">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积极响应巴彦淖尔市教育局号召，牵头建设“巴彦淖尔现代农牧业市域产教融合体”建设，紧密围绕地区优势农牧业产业发展需求，充分发挥专业、人才与育人优势，为融合体建设贡献力量，全力服务区域农牧业高质量发展。</w:t>
      </w:r>
    </w:p>
    <w:p w14:paraId="636C7618">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一是强化产教互动，服务产业升级。学校牢固树立“以教促产、以产助教”理念，主动对接现代农牧业产业链，推动专业设置与产业园区发展精准匹配、与行业企业需求深度捆绑。通过融合体平台，积极引入行业企业资源，共同参与专业规划、课程开发、实践教学与师资建设，促进教育链、人才链与产业链、创新链有机衔接。努力盘活园区内技术、设备、人才等要素，推动形成资源共享、优势互补、协同发展的产教融合生态，切实提升融合体对区域农牧业现代化的支撑与服务能力。</w:t>
      </w:r>
    </w:p>
    <w:p w14:paraId="0BF4ADE6">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二是立足育人根本，促进人才成长。学校坚持立德树人，将人才培养定位从“技能谋业”深化为“全面育人”，积极服务学生终身发展。遵循技术技能人才成长规律，大力弘扬工匠精神，着力培养学生扎实的专业能力、良好的职业素养和可持续的发展潜力。依托联合体，联合行业企业加强人才需求分析与预测，动态优化专业布局，增强人才培养的前瞻性与适应性。积极推行现代学徒制、现场工程师等培养模式，拓宽成长通道。同时面向企业员工开展技术培训与继续教育，助力企业人力资源提升，为区域农牧业高质量发展夯实人才根基。</w:t>
      </w:r>
    </w:p>
    <w:p w14:paraId="7AD094C5">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学校将继续以市域产教联合体为关键平台，深化机制创新与务实合作，为推动巴彦淖尔现代农牧业提质增效与乡村振兴作出积极贡献。</w:t>
      </w:r>
    </w:p>
    <w:p w14:paraId="6F6AAC5E">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left"/>
        <w:textAlignment w:val="auto"/>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t>5.7行业产教融合共同体建设</w:t>
      </w:r>
    </w:p>
    <w:p w14:paraId="3AF74719">
      <w:pPr>
        <w:pStyle w:val="2"/>
        <w:keepNext w:val="0"/>
        <w:keepLines w:val="0"/>
        <w:pageBreakBefore w:val="0"/>
        <w:widowControl w:val="0"/>
        <w:kinsoku/>
        <w:wordWrap/>
        <w:overflowPunct/>
        <w:topLinePunct w:val="0"/>
        <w:autoSpaceDE/>
        <w:autoSpaceDN/>
        <w:bidi w:val="0"/>
        <w:adjustRightInd/>
        <w:snapToGrid/>
        <w:spacing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与行业领先企业和知名高校深度协同，共建产教融合创新共同体，核心聚焦于</w:t>
      </w:r>
      <w:r>
        <w:rPr>
          <w:rFonts w:hint="default" w:ascii="宋体" w:hAnsi="宋体" w:eastAsia="宋体" w:cs="宋体"/>
          <w:color w:val="000000" w:themeColor="text1"/>
          <w:sz w:val="24"/>
          <w:szCs w:val="24"/>
          <w:lang w:val="en-US" w:eastAsia="zh-CN"/>
          <w14:textFill>
            <w14:solidFill>
              <w14:schemeClr w14:val="tx1"/>
            </w14:solidFill>
          </w14:textFill>
        </w:rPr>
        <w:t>培养面向未来的创新型人才。我们通过与中国农业大学共建“绿色发展创新创业中心”，携手河套酒业建设智能酿造与种植基地，联合装备制造、农牧等领域龙头企业打造实训平台，构建“行业前沿标准+创新实践模块”的课程体系，开发共享型数字化教学资源。在此基础上，持续优化专业群管理与运行机制，强化学生创新思维与解决复杂问题能力，深化现代学徒制与工学交替模式，推动学习领域向跨学科、跨技术方向拓展，真正实现教育链、人才链与产业链、创新链的有机衔接，为行业转型升级与可持续发展输送具备创新精神和实践能力的高素质人才。</w:t>
      </w:r>
    </w:p>
    <w:p w14:paraId="478A8772">
      <w:pPr>
        <w:keepNext w:val="0"/>
        <w:keepLines w:val="0"/>
        <w:pageBreakBefore w:val="0"/>
        <w:widowControl w:val="0"/>
        <w:kinsoku/>
        <w:wordWrap/>
        <w:overflowPunct/>
        <w:topLinePunct w:val="0"/>
        <w:autoSpaceDE/>
        <w:autoSpaceDN/>
        <w:bidi w:val="0"/>
        <w:adjustRightInd/>
        <w:snapToGrid/>
        <w:spacing w:line="520" w:lineRule="exact"/>
        <w:ind w:left="0" w:leftChars="0" w:firstLine="562" w:firstLineChars="200"/>
        <w:jc w:val="left"/>
        <w:textAlignment w:val="auto"/>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28"/>
          <w:szCs w:val="28"/>
          <w:highlight w:val="none"/>
          <w:vertAlign w:val="baseline"/>
          <w:lang w:val="en-US" w:eastAsia="zh-CN" w:bidi="ar-SA"/>
          <w14:textFill>
            <w14:solidFill>
              <w14:schemeClr w14:val="tx1"/>
            </w14:solidFill>
          </w14:textFill>
        </w:rPr>
        <w:t>5.8产教融合实践中心建设其他产教融合方面特色工作</w:t>
      </w:r>
    </w:p>
    <w:p w14:paraId="46EDA169">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学校以服务区域产业发展为导向，依托总值超过3000万元的数控生产型实训设备、新能源汽修等实训设备，联合优质企业，建成了集教学、实训、生产、研发于一体的数控与汽车维修两大产教融合实践中心。这不仅是设备与场地的升级，更是教学模式与育人生态的深刻变革，为核心专业推行工学一体化教学提供了坚实保障。</w:t>
      </w:r>
    </w:p>
    <w:p w14:paraId="4F01BCB1">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在市级产教融合实践中心建设的引领下，学校积极引入行业顶尖人才资源，创造性实施“大师入校园”计划。国家级技能大师、数控领域的典范宋殿琛，与资深医护专家邢彩霞教授相继走进校园，将其数十载积累的宝贵经验与前沿技术毫无保留地传授给师生。他们不仅通过专题指导、技术攻关破解了师生在专业发展与技能提升中的实际困惑与难题，更通过现场精湛绝伦的技艺展示与沉浸式的言传身教，生动诠释了何为“精益求精、追求卓越”的工匠精神。师生在与大师面对面的交流中，近距离感受其专业风范与职业情怀，实现了技艺的传承与精神的升华。</w:t>
      </w:r>
    </w:p>
    <w:p w14:paraId="0CDEE012">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 xml:space="preserve">尤为重要的是，大师们的现身说法，极大地扭转了学生对成才路径的传统认知。他们以自身的成长轨迹和行业成就，有力印证了“人人皆可成才，人人尽展其才”的现代职业教育人才观。在技能报国、制造强国的大背景下，大师们引导学生深刻认识到“以技立身”的价值与尊严，树立起凭借扎实技能实现人生理想、服务社会发展的坚定信念。  </w:t>
      </w:r>
    </w:p>
    <w:p w14:paraId="5FE582A9">
      <w:pPr>
        <w:pStyle w:val="2"/>
        <w:keepNext w:val="0"/>
        <w:keepLines w:val="0"/>
        <w:pageBreakBefore w:val="0"/>
        <w:widowControl w:val="0"/>
        <w:kinsoku/>
        <w:wordWrap/>
        <w:overflowPunct/>
        <w:topLinePunct w:val="0"/>
        <w:autoSpaceDE/>
        <w:autoSpaceDN/>
        <w:bidi w:val="0"/>
        <w:adjustRightInd/>
        <w:snapToGrid/>
        <w:spacing w:after="0" w:line="440" w:lineRule="exact"/>
        <w:ind w:left="0" w:leftChars="0" w:firstLine="480"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学校的产教融合实践，正是将国家的政策导向、企业的实践资源、大师的领军作用与学校的育人主体功能进行有机整合的生动体现。它不是简单的校企合作，而是构建了一个以真实生产环境为依托、以大师精神为引领、以综合能力培养为核心的人才共育生态系统。这一特色路径，有效促进了教育链、人才链与产业链、创新链的紧密衔接，展现了学校在深化产教融合、弘扬工匠文化、培育高素质技术技能人才方面的积极探索与显著成效。</w:t>
      </w:r>
    </w:p>
    <w:p w14:paraId="560A2193">
      <w:pPr>
        <w:keepNext w:val="0"/>
        <w:keepLines w:val="0"/>
        <w:pageBreakBefore w:val="0"/>
        <w:widowControl w:val="0"/>
        <w:kinsoku/>
        <w:wordWrap/>
        <w:overflowPunct/>
        <w:topLinePunct w:val="0"/>
        <w:autoSpaceDE/>
        <w:autoSpaceDN/>
        <w:bidi w:val="0"/>
        <w:adjustRightInd/>
        <w:snapToGrid/>
        <w:spacing w:line="440" w:lineRule="exact"/>
        <w:jc w:val="both"/>
        <w:textAlignment w:val="auto"/>
        <w:rPr>
          <w:rFonts w:hint="eastAsia" w:ascii="黑体" w:hAnsi="黑体" w:eastAsia="黑体" w:cs="黑体"/>
          <w:b/>
          <w:bCs/>
          <w:color w:val="000000" w:themeColor="text1"/>
          <w:sz w:val="30"/>
          <w:szCs w:val="30"/>
          <w:lang w:val="en-US" w:eastAsia="zh-CN"/>
          <w14:textFill>
            <w14:solidFill>
              <w14:schemeClr w14:val="tx1"/>
            </w14:solidFill>
          </w14:textFill>
        </w:rPr>
      </w:pPr>
      <w:r>
        <w:rPr>
          <w:rFonts w:hint="eastAsia" w:ascii="黑体" w:hAnsi="黑体" w:eastAsia="黑体" w:cs="黑体"/>
          <w:b/>
          <w:bCs/>
          <w:color w:val="000000" w:themeColor="text1"/>
          <w:sz w:val="30"/>
          <w:szCs w:val="30"/>
          <w:lang w:eastAsia="zh-CN"/>
          <w14:textFill>
            <w14:solidFill>
              <w14:schemeClr w14:val="tx1"/>
            </w14:solidFill>
          </w14:textFill>
        </w:rPr>
        <w:t>案例</w:t>
      </w:r>
      <w:r>
        <w:rPr>
          <w:rFonts w:hint="eastAsia" w:ascii="黑体" w:hAnsi="黑体" w:eastAsia="黑体" w:cs="黑体"/>
          <w:b/>
          <w:bCs/>
          <w:color w:val="000000" w:themeColor="text1"/>
          <w:sz w:val="30"/>
          <w:szCs w:val="30"/>
          <w:lang w:val="en-US" w:eastAsia="zh-CN"/>
          <w14:textFill>
            <w14:solidFill>
              <w14:schemeClr w14:val="tx1"/>
            </w14:solidFill>
          </w14:textFill>
        </w:rPr>
        <w:t>5-1</w:t>
      </w:r>
    </w:p>
    <w:p w14:paraId="48D2014E">
      <w:pPr>
        <w:keepNext w:val="0"/>
        <w:keepLines w:val="0"/>
        <w:pageBreakBefore w:val="0"/>
        <w:widowControl w:val="0"/>
        <w:kinsoku/>
        <w:wordWrap/>
        <w:overflowPunct/>
        <w:topLinePunct w:val="0"/>
        <w:autoSpaceDE/>
        <w:autoSpaceDN/>
        <w:bidi w:val="0"/>
        <w:adjustRightInd/>
        <w:snapToGrid/>
        <w:spacing w:line="440" w:lineRule="exact"/>
        <w:ind w:firstLine="602" w:firstLineChars="200"/>
        <w:jc w:val="center"/>
        <w:textAlignment w:val="auto"/>
        <w:rPr>
          <w:rFonts w:hint="eastAsia" w:ascii="仿宋" w:hAnsi="仿宋" w:eastAsia="仿宋" w:cs="仿宋"/>
          <w:b/>
          <w:bCs/>
          <w:color w:val="000000" w:themeColor="text1"/>
          <w:sz w:val="30"/>
          <w:szCs w:val="30"/>
          <w14:textFill>
            <w14:solidFill>
              <w14:schemeClr w14:val="tx1"/>
            </w14:solidFill>
          </w14:textFill>
        </w:rPr>
      </w:pPr>
      <w:r>
        <w:rPr>
          <w:rFonts w:hint="eastAsia" w:ascii="仿宋" w:hAnsi="仿宋" w:eastAsia="仿宋" w:cs="仿宋"/>
          <w:b/>
          <w:bCs/>
          <w:color w:val="000000" w:themeColor="text1"/>
          <w:sz w:val="30"/>
          <w:szCs w:val="30"/>
          <w14:textFill>
            <w14:solidFill>
              <w14:schemeClr w14:val="tx1"/>
            </w14:solidFill>
          </w14:textFill>
        </w:rPr>
        <w:t>深化产教融合，创新育人范式</w:t>
      </w:r>
    </w:p>
    <w:p w14:paraId="35A942D5">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仿宋" w:hAnsi="仿宋" w:eastAsia="仿宋" w:cs="仿宋"/>
          <w:color w:val="000000" w:themeColor="text1"/>
          <w:sz w:val="24"/>
          <w:szCs w:val="24"/>
          <w14:textFill>
            <w14:solidFill>
              <w14:schemeClr w14:val="tx1"/>
            </w14:solidFill>
          </w14:textFill>
        </w:rPr>
      </w:pPr>
      <w:r>
        <w:rPr>
          <w:rFonts w:hint="eastAsia" w:ascii="仿宋" w:hAnsi="仿宋" w:eastAsia="仿宋" w:cs="仿宋"/>
          <w:color w:val="000000" w:themeColor="text1"/>
          <w:sz w:val="24"/>
          <w:szCs w:val="24"/>
          <w:lang w:val="en-US" w:eastAsia="zh-CN"/>
          <w14:textFill>
            <w14:solidFill>
              <w14:schemeClr w14:val="tx1"/>
            </w14:solidFill>
          </w14:textFill>
        </w:rPr>
        <w:t>我校</w:t>
      </w:r>
      <w:r>
        <w:rPr>
          <w:rFonts w:hint="eastAsia" w:ascii="仿宋" w:hAnsi="仿宋" w:eastAsia="仿宋" w:cs="仿宋"/>
          <w:color w:val="000000" w:themeColor="text1"/>
          <w:sz w:val="24"/>
          <w:szCs w:val="24"/>
          <w14:textFill>
            <w14:solidFill>
              <w14:schemeClr w14:val="tx1"/>
            </w14:solidFill>
          </w14:textFill>
        </w:rPr>
        <w:t>紧扣区域产业需求，优化设置农牧、数控等专业，与中粮屯河、伊利、河套酒业、哈尔滨第一</w:t>
      </w:r>
      <w:r>
        <w:rPr>
          <w:rFonts w:hint="eastAsia" w:ascii="仿宋" w:hAnsi="仿宋" w:eastAsia="仿宋" w:cs="仿宋"/>
          <w:color w:val="000000" w:themeColor="text1"/>
          <w:sz w:val="24"/>
          <w:szCs w:val="24"/>
          <w:lang w:eastAsia="zh-CN"/>
          <w14:textFill>
            <w14:solidFill>
              <w14:schemeClr w14:val="tx1"/>
            </w14:solidFill>
          </w14:textFill>
        </w:rPr>
        <w:t>工</w:t>
      </w:r>
      <w:r>
        <w:rPr>
          <w:rFonts w:hint="eastAsia" w:ascii="仿宋" w:hAnsi="仿宋" w:eastAsia="仿宋" w:cs="仿宋"/>
          <w:color w:val="000000" w:themeColor="text1"/>
          <w:sz w:val="24"/>
          <w:szCs w:val="24"/>
          <w14:textFill>
            <w14:solidFill>
              <w14:schemeClr w14:val="tx1"/>
            </w14:solidFill>
          </w14:textFill>
        </w:rPr>
        <w:t>具</w:t>
      </w:r>
      <w:r>
        <w:rPr>
          <w:rFonts w:hint="eastAsia" w:ascii="仿宋" w:hAnsi="仿宋" w:eastAsia="仿宋" w:cs="仿宋"/>
          <w:color w:val="000000" w:themeColor="text1"/>
          <w:sz w:val="24"/>
          <w:szCs w:val="24"/>
          <w:lang w:eastAsia="zh-CN"/>
          <w14:textFill>
            <w14:solidFill>
              <w14:schemeClr w14:val="tx1"/>
            </w14:solidFill>
          </w14:textFill>
        </w:rPr>
        <w:t>有限公司</w:t>
      </w:r>
      <w:r>
        <w:rPr>
          <w:rFonts w:hint="eastAsia" w:ascii="仿宋" w:hAnsi="仿宋" w:eastAsia="仿宋" w:cs="仿宋"/>
          <w:color w:val="000000" w:themeColor="text1"/>
          <w:sz w:val="24"/>
          <w:szCs w:val="24"/>
          <w14:textFill>
            <w14:solidFill>
              <w14:schemeClr w14:val="tx1"/>
            </w14:solidFill>
          </w14:textFill>
        </w:rPr>
        <w:t>、内蒙古第一机械制造厂等60余家龙头企业共建“校中厂”“厂中校”，推进产教融合、工学结合。校企合作编写30多本校本精品教材，将企业生产实际案例融入教学内容，使教学更具针对性和实用性。实施“导学互动”“理实一体”“现代学徒制”教学模式，校企共育人才。通过“外引内联”打造双师队伍，</w:t>
      </w:r>
      <w:r>
        <w:rPr>
          <w:rFonts w:hint="eastAsia" w:ascii="仿宋" w:hAnsi="仿宋" w:eastAsia="仿宋" w:cs="仿宋"/>
          <w:color w:val="000000" w:themeColor="text1"/>
          <w:sz w:val="24"/>
          <w:szCs w:val="24"/>
          <w:lang w:eastAsia="zh-CN"/>
          <w14:textFill>
            <w14:solidFill>
              <w14:schemeClr w14:val="tx1"/>
            </w14:solidFill>
          </w14:textFill>
        </w:rPr>
        <w:t>“双师型”教师</w:t>
      </w:r>
      <w:r>
        <w:rPr>
          <w:rFonts w:hint="eastAsia" w:ascii="仿宋" w:hAnsi="仿宋" w:eastAsia="仿宋" w:cs="仿宋"/>
          <w:color w:val="000000" w:themeColor="text1"/>
          <w:sz w:val="24"/>
          <w:szCs w:val="24"/>
          <w14:textFill>
            <w14:solidFill>
              <w14:schemeClr w14:val="tx1"/>
            </w14:solidFill>
          </w14:textFill>
        </w:rPr>
        <w:t>达78人。年培训农牧民3000余人，服务乡村振兴。学生技能大赛成绩领先，对口升学本科率稳居</w:t>
      </w:r>
      <w:r>
        <w:rPr>
          <w:rFonts w:hint="eastAsia" w:ascii="仿宋" w:hAnsi="仿宋" w:eastAsia="仿宋" w:cs="仿宋"/>
          <w:color w:val="000000" w:themeColor="text1"/>
          <w:sz w:val="24"/>
          <w:szCs w:val="24"/>
          <w:lang w:val="en-US" w:eastAsia="zh-CN"/>
          <w14:textFill>
            <w14:solidFill>
              <w14:schemeClr w14:val="tx1"/>
            </w14:solidFill>
          </w14:textFill>
        </w:rPr>
        <w:t>40</w:t>
      </w:r>
      <w:r>
        <w:rPr>
          <w:rFonts w:hint="eastAsia" w:ascii="仿宋" w:hAnsi="仿宋" w:eastAsia="仿宋" w:cs="仿宋"/>
          <w:color w:val="000000" w:themeColor="text1"/>
          <w:sz w:val="24"/>
          <w:szCs w:val="24"/>
          <w14:textFill>
            <w14:solidFill>
              <w14:schemeClr w14:val="tx1"/>
            </w14:solidFill>
          </w14:textFill>
        </w:rPr>
        <w:t>%</w:t>
      </w:r>
      <w:r>
        <w:rPr>
          <w:rFonts w:hint="eastAsia" w:ascii="仿宋" w:hAnsi="仿宋" w:eastAsia="仿宋" w:cs="仿宋"/>
          <w:color w:val="000000" w:themeColor="text1"/>
          <w:sz w:val="24"/>
          <w:szCs w:val="24"/>
          <w:lang w:val="en-US" w:eastAsia="zh-CN"/>
          <w14:textFill>
            <w14:solidFill>
              <w14:schemeClr w14:val="tx1"/>
            </w14:solidFill>
          </w14:textFill>
        </w:rPr>
        <w:t>以上</w:t>
      </w:r>
      <w:r>
        <w:rPr>
          <w:rFonts w:hint="eastAsia" w:ascii="仿宋" w:hAnsi="仿宋" w:eastAsia="仿宋" w:cs="仿宋"/>
          <w:color w:val="000000" w:themeColor="text1"/>
          <w:sz w:val="24"/>
          <w:szCs w:val="24"/>
          <w14:textFill>
            <w14:solidFill>
              <w14:schemeClr w14:val="tx1"/>
            </w14:solidFill>
          </w14:textFill>
        </w:rPr>
        <w:t>，就业率达100%。学校由不足800人发展为近3000人的自治区重点校，获评国家级高技能人才培训基地，实现人才培养与区域发展双赢。</w:t>
      </w:r>
    </w:p>
    <w:p w14:paraId="10559D6B">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color w:val="000000" w:themeColor="text1"/>
          <w:sz w:val="24"/>
          <w:szCs w:val="24"/>
          <w:lang w:eastAsia="zh-CN"/>
          <w14:textFill>
            <w14:solidFill>
              <w14:schemeClr w14:val="tx1"/>
            </w14:solidFill>
          </w14:textFill>
        </w:rPr>
        <w:drawing>
          <wp:anchor distT="0" distB="0" distL="114300" distR="114300" simplePos="0" relativeHeight="251677696" behindDoc="0" locked="0" layoutInCell="1" allowOverlap="1">
            <wp:simplePos x="0" y="0"/>
            <wp:positionH relativeFrom="column">
              <wp:posOffset>-10160</wp:posOffset>
            </wp:positionH>
            <wp:positionV relativeFrom="paragraph">
              <wp:posOffset>98425</wp:posOffset>
            </wp:positionV>
            <wp:extent cx="5760085" cy="3470275"/>
            <wp:effectExtent l="0" t="0" r="12065" b="15875"/>
            <wp:wrapNone/>
            <wp:docPr id="6" name="图片 6" descr="c9c71fdfd691614bf6283bfb2087235e"/>
            <wp:cNvGraphicFramePr/>
            <a:graphic xmlns:a="http://schemas.openxmlformats.org/drawingml/2006/main">
              <a:graphicData uri="http://schemas.openxmlformats.org/drawingml/2006/picture">
                <pic:pic xmlns:pic="http://schemas.openxmlformats.org/drawingml/2006/picture">
                  <pic:nvPicPr>
                    <pic:cNvPr id="6" name="图片 6" descr="c9c71fdfd691614bf6283bfb2087235e"/>
                    <pic:cNvPicPr/>
                  </pic:nvPicPr>
                  <pic:blipFill>
                    <a:blip r:embed="rId31"/>
                    <a:srcRect l="-11539" t="-10248" r="-11539" b="-10248"/>
                    <a:stretch>
                      <a:fillRect/>
                    </a:stretch>
                  </pic:blipFill>
                  <pic:spPr>
                    <a:xfrm>
                      <a:off x="0" y="0"/>
                      <a:ext cx="5760085" cy="3470275"/>
                    </a:xfrm>
                    <a:prstGeom prst="rect">
                      <a:avLst/>
                    </a:prstGeom>
                  </pic:spPr>
                </pic:pic>
              </a:graphicData>
            </a:graphic>
          </wp:anchor>
        </w:drawing>
      </w:r>
    </w:p>
    <w:p w14:paraId="4B94C685">
      <w:pPr>
        <w:pStyle w:val="2"/>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p>
    <w:p w14:paraId="325236AD">
      <w:pPr>
        <w:pStyle w:val="4"/>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lang w:eastAsia="zh-CN"/>
          <w14:textFill>
            <w14:solidFill>
              <w14:schemeClr w14:val="tx1"/>
            </w14:solidFill>
          </w14:textFill>
        </w:rPr>
      </w:pPr>
    </w:p>
    <w:p w14:paraId="6FCF0B45">
      <w:pPr>
        <w:pStyle w:val="4"/>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lang w:eastAsia="zh-CN"/>
          <w14:textFill>
            <w14:solidFill>
              <w14:schemeClr w14:val="tx1"/>
            </w14:solidFill>
          </w14:textFill>
        </w:rPr>
      </w:pPr>
    </w:p>
    <w:p w14:paraId="59F46D07">
      <w:pPr>
        <w:pStyle w:val="4"/>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p>
    <w:p w14:paraId="6BE6B6EC">
      <w:pPr>
        <w:pStyle w:val="4"/>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p>
    <w:p w14:paraId="4C2C8DC7">
      <w:pPr>
        <w:pStyle w:val="4"/>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p>
    <w:p w14:paraId="7B3B033E">
      <w:pPr>
        <w:pStyle w:val="4"/>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p>
    <w:p w14:paraId="3D7A96E0">
      <w:pPr>
        <w:pStyle w:val="4"/>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p>
    <w:p w14:paraId="2F48EE0B">
      <w:pPr>
        <w:pStyle w:val="4"/>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14:textFill>
            <w14:solidFill>
              <w14:schemeClr w14:val="tx1"/>
            </w14:solidFill>
          </w14:textFill>
        </w:rPr>
      </w:pPr>
    </w:p>
    <w:p w14:paraId="64BAA54A">
      <w:pPr>
        <w:pStyle w:val="4"/>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仿宋" w:hAnsi="仿宋" w:eastAsia="仿宋" w:cs="仿宋"/>
          <w:b/>
          <w:bCs/>
          <w:color w:val="000000" w:themeColor="text1"/>
          <w:sz w:val="24"/>
          <w:szCs w:val="24"/>
          <w14:textFill>
            <w14:solidFill>
              <w14:schemeClr w14:val="tx1"/>
            </w14:solidFill>
          </w14:textFill>
        </w:rPr>
      </w:pPr>
      <w:r>
        <w:rPr>
          <w:rFonts w:hint="eastAsia" w:ascii="仿宋" w:hAnsi="仿宋" w:eastAsia="仿宋" w:cs="仿宋"/>
          <w:b/>
          <w:bCs/>
          <w:i w:val="0"/>
          <w:iCs w:val="0"/>
          <w:color w:val="000000" w:themeColor="text1"/>
          <w:kern w:val="2"/>
          <w:sz w:val="24"/>
          <w:szCs w:val="24"/>
          <w:highlight w:val="none"/>
          <w:vertAlign w:val="baseline"/>
          <w:lang w:val="en-US" w:eastAsia="zh-CN" w:bidi="ar-SA"/>
          <w14:textFill>
            <w14:solidFill>
              <w14:schemeClr w14:val="tx1"/>
            </w14:solidFill>
          </w14:textFill>
        </w:rPr>
        <w:t>图5-1  校企共同研发“芪贝勒”品牌</w:t>
      </w:r>
    </w:p>
    <w:p w14:paraId="42F24386">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color w:val="000000" w:themeColor="text1"/>
          <w:sz w:val="28"/>
          <w:szCs w:val="28"/>
          <w14:textFill>
            <w14:solidFill>
              <w14:schemeClr w14:val="tx1"/>
            </w14:solidFill>
          </w14:textFill>
        </w:rPr>
      </w:pPr>
    </w:p>
    <w:p w14:paraId="7C7BF175">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黑体" w:hAnsi="黑体" w:eastAsia="黑体" w:cs="黑体"/>
          <w:b/>
          <w:bCs/>
          <w:color w:val="000000" w:themeColor="text1"/>
          <w:sz w:val="28"/>
          <w:szCs w:val="28"/>
          <w14:textFill>
            <w14:solidFill>
              <w14:schemeClr w14:val="tx1"/>
            </w14:solidFill>
          </w14:textFill>
        </w:rPr>
      </w:pPr>
      <w:r>
        <w:rPr>
          <w:rFonts w:hint="eastAsia" w:ascii="仿宋" w:hAnsi="仿宋" w:eastAsia="仿宋" w:cs="仿宋"/>
          <w:b/>
          <w:bCs/>
          <w:color w:val="000000" w:themeColor="text1"/>
          <w:sz w:val="24"/>
          <w:szCs w:val="24"/>
          <w:lang w:eastAsia="zh-CN"/>
          <w14:textFill>
            <w14:solidFill>
              <w14:schemeClr w14:val="tx1"/>
            </w14:solidFill>
          </w14:textFill>
        </w:rPr>
        <w:drawing>
          <wp:anchor distT="0" distB="0" distL="114300" distR="114300" simplePos="0" relativeHeight="251678720" behindDoc="0" locked="0" layoutInCell="1" allowOverlap="1">
            <wp:simplePos x="0" y="0"/>
            <wp:positionH relativeFrom="column">
              <wp:posOffset>426720</wp:posOffset>
            </wp:positionH>
            <wp:positionV relativeFrom="paragraph">
              <wp:posOffset>268605</wp:posOffset>
            </wp:positionV>
            <wp:extent cx="4952365" cy="2691130"/>
            <wp:effectExtent l="0" t="0" r="635" b="13970"/>
            <wp:wrapNone/>
            <wp:docPr id="8" name="图片 8" descr="5666269a06e7979186b0aae713e9df43"/>
            <wp:cNvGraphicFramePr/>
            <a:graphic xmlns:a="http://schemas.openxmlformats.org/drawingml/2006/main">
              <a:graphicData uri="http://schemas.openxmlformats.org/drawingml/2006/picture">
                <pic:pic xmlns:pic="http://schemas.openxmlformats.org/drawingml/2006/picture">
                  <pic:nvPicPr>
                    <pic:cNvPr id="8" name="图片 8" descr="5666269a06e7979186b0aae713e9df43"/>
                    <pic:cNvPicPr/>
                  </pic:nvPicPr>
                  <pic:blipFill>
                    <a:blip r:embed="rId32"/>
                    <a:stretch>
                      <a:fillRect/>
                    </a:stretch>
                  </pic:blipFill>
                  <pic:spPr>
                    <a:xfrm>
                      <a:off x="0" y="0"/>
                      <a:ext cx="4952365" cy="2691130"/>
                    </a:xfrm>
                    <a:prstGeom prst="rect">
                      <a:avLst/>
                    </a:prstGeom>
                  </pic:spPr>
                </pic:pic>
              </a:graphicData>
            </a:graphic>
          </wp:anchor>
        </w:drawing>
      </w:r>
    </w:p>
    <w:p w14:paraId="30E75D49">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rPr>
          <w:rFonts w:hint="eastAsia" w:ascii="黑体" w:hAnsi="黑体" w:eastAsia="黑体" w:cs="黑体"/>
          <w:b/>
          <w:bCs/>
          <w:color w:val="000000" w:themeColor="text1"/>
          <w:sz w:val="28"/>
          <w:szCs w:val="28"/>
          <w14:textFill>
            <w14:solidFill>
              <w14:schemeClr w14:val="tx1"/>
            </w14:solidFill>
          </w14:textFill>
        </w:rPr>
      </w:pPr>
    </w:p>
    <w:p w14:paraId="5BFFC719">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rPr>
          <w:rFonts w:hint="eastAsia" w:ascii="黑体" w:hAnsi="黑体" w:eastAsia="黑体" w:cs="黑体"/>
          <w:b/>
          <w:bCs/>
          <w:color w:val="000000" w:themeColor="text1"/>
          <w:sz w:val="28"/>
          <w:szCs w:val="28"/>
          <w14:textFill>
            <w14:solidFill>
              <w14:schemeClr w14:val="tx1"/>
            </w14:solidFill>
          </w14:textFill>
        </w:rPr>
      </w:pPr>
    </w:p>
    <w:p w14:paraId="7E50B8E0">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rPr>
          <w:rFonts w:hint="eastAsia" w:ascii="黑体" w:hAnsi="黑体" w:eastAsia="黑体" w:cs="黑体"/>
          <w:b/>
          <w:bCs/>
          <w:color w:val="000000" w:themeColor="text1"/>
          <w:sz w:val="28"/>
          <w:szCs w:val="28"/>
          <w14:textFill>
            <w14:solidFill>
              <w14:schemeClr w14:val="tx1"/>
            </w14:solidFill>
          </w14:textFill>
        </w:rPr>
      </w:pPr>
    </w:p>
    <w:p w14:paraId="19587464">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rPr>
          <w:rFonts w:hint="eastAsia" w:ascii="黑体" w:hAnsi="黑体" w:eastAsia="黑体" w:cs="黑体"/>
          <w:b/>
          <w:bCs/>
          <w:color w:val="000000" w:themeColor="text1"/>
          <w:sz w:val="28"/>
          <w:szCs w:val="28"/>
          <w14:textFill>
            <w14:solidFill>
              <w14:schemeClr w14:val="tx1"/>
            </w14:solidFill>
          </w14:textFill>
        </w:rPr>
      </w:pPr>
    </w:p>
    <w:p w14:paraId="5A1476F4">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rPr>
          <w:rFonts w:hint="eastAsia" w:ascii="黑体" w:hAnsi="黑体" w:eastAsia="黑体" w:cs="黑体"/>
          <w:b/>
          <w:bCs/>
          <w:color w:val="000000" w:themeColor="text1"/>
          <w:sz w:val="28"/>
          <w:szCs w:val="28"/>
          <w14:textFill>
            <w14:solidFill>
              <w14:schemeClr w14:val="tx1"/>
            </w14:solidFill>
          </w14:textFill>
        </w:rPr>
      </w:pPr>
    </w:p>
    <w:p w14:paraId="081DA6BE">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rPr>
          <w:rFonts w:hint="eastAsia" w:ascii="黑体" w:hAnsi="黑体" w:eastAsia="黑体" w:cs="黑体"/>
          <w:b/>
          <w:bCs/>
          <w:color w:val="000000" w:themeColor="text1"/>
          <w:sz w:val="28"/>
          <w:szCs w:val="28"/>
          <w14:textFill>
            <w14:solidFill>
              <w14:schemeClr w14:val="tx1"/>
            </w14:solidFill>
          </w14:textFill>
        </w:rPr>
      </w:pPr>
    </w:p>
    <w:p w14:paraId="4677047F">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rPr>
          <w:rFonts w:hint="eastAsia" w:ascii="黑体" w:hAnsi="黑体" w:eastAsia="黑体" w:cs="黑体"/>
          <w:b/>
          <w:bCs/>
          <w:color w:val="000000" w:themeColor="text1"/>
          <w:sz w:val="28"/>
          <w:szCs w:val="28"/>
          <w14:textFill>
            <w14:solidFill>
              <w14:schemeClr w14:val="tx1"/>
            </w14:solidFill>
          </w14:textFill>
        </w:rPr>
      </w:pPr>
    </w:p>
    <w:p w14:paraId="4B61842B">
      <w:pPr>
        <w:keepNext w:val="0"/>
        <w:keepLines w:val="0"/>
        <w:pageBreakBefore w:val="0"/>
        <w:widowControl w:val="0"/>
        <w:kinsoku/>
        <w:wordWrap/>
        <w:overflowPunct/>
        <w:topLinePunct w:val="0"/>
        <w:autoSpaceDE/>
        <w:autoSpaceDN/>
        <w:bidi w:val="0"/>
        <w:adjustRightInd/>
        <w:snapToGrid/>
        <w:spacing w:line="440" w:lineRule="exact"/>
        <w:ind w:firstLine="562" w:firstLineChars="200"/>
        <w:textAlignment w:val="auto"/>
        <w:rPr>
          <w:rFonts w:hint="eastAsia" w:ascii="黑体" w:hAnsi="黑体" w:eastAsia="黑体" w:cs="黑体"/>
          <w:b/>
          <w:bCs/>
          <w:color w:val="000000" w:themeColor="text1"/>
          <w:sz w:val="28"/>
          <w:szCs w:val="28"/>
          <w14:textFill>
            <w14:solidFill>
              <w14:schemeClr w14:val="tx1"/>
            </w14:solidFill>
          </w14:textFill>
        </w:rPr>
      </w:pPr>
    </w:p>
    <w:p w14:paraId="26C39BAC">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i w:val="0"/>
          <w:iCs w:val="0"/>
          <w:color w:val="000000" w:themeColor="text1"/>
          <w:kern w:val="2"/>
          <w:sz w:val="24"/>
          <w:szCs w:val="24"/>
          <w:highlight w:val="yellow"/>
          <w:vertAlign w:val="baseline"/>
          <w:lang w:val="en-US" w:eastAsia="zh-CN" w:bidi="ar-SA"/>
          <w14:textFill>
            <w14:solidFill>
              <w14:schemeClr w14:val="tx1"/>
            </w14:solidFill>
          </w14:textFill>
        </w:rPr>
      </w:pPr>
    </w:p>
    <w:p w14:paraId="40E19B8F">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黑体" w:hAnsi="黑体" w:eastAsia="黑体" w:cs="黑体"/>
          <w:b/>
          <w:bCs/>
          <w:i w:val="0"/>
          <w:iCs w:val="0"/>
          <w:color w:val="000000" w:themeColor="text1"/>
          <w:kern w:val="2"/>
          <w:sz w:val="24"/>
          <w:szCs w:val="24"/>
          <w:highlight w:val="yellow"/>
          <w:vertAlign w:val="baseline"/>
          <w:lang w:val="en-US" w:eastAsia="zh-CN" w:bidi="ar-SA"/>
          <w14:textFill>
            <w14:solidFill>
              <w14:schemeClr w14:val="tx1"/>
            </w14:solidFill>
          </w14:textFill>
        </w:rPr>
      </w:pPr>
    </w:p>
    <w:p w14:paraId="221F16B8">
      <w:pPr>
        <w:keepNext w:val="0"/>
        <w:keepLines w:val="0"/>
        <w:pageBreakBefore w:val="0"/>
        <w:widowControl w:val="0"/>
        <w:kinsoku/>
        <w:wordWrap/>
        <w:overflowPunct/>
        <w:topLinePunct w:val="0"/>
        <w:autoSpaceDE/>
        <w:autoSpaceDN/>
        <w:bidi w:val="0"/>
        <w:adjustRightInd/>
        <w:snapToGrid/>
        <w:spacing w:line="440" w:lineRule="exact"/>
        <w:ind w:firstLine="482" w:firstLineChars="200"/>
        <w:jc w:val="center"/>
        <w:textAlignment w:val="auto"/>
        <w:rPr>
          <w:rFonts w:hint="eastAsia" w:ascii="黑体" w:hAnsi="黑体" w:eastAsia="黑体" w:cs="黑体"/>
          <w:b/>
          <w:bCs/>
          <w:i w:val="0"/>
          <w:iCs w:val="0"/>
          <w:color w:val="000000" w:themeColor="text1"/>
          <w:kern w:val="2"/>
          <w:sz w:val="24"/>
          <w:szCs w:val="24"/>
          <w:highlight w:val="yellow"/>
          <w:vertAlign w:val="baseline"/>
          <w:lang w:val="en-US" w:eastAsia="zh-CN" w:bidi="ar-SA"/>
          <w14:textFill>
            <w14:solidFill>
              <w14:schemeClr w14:val="tx1"/>
            </w14:solidFill>
          </w14:textFill>
        </w:rPr>
      </w:pPr>
      <w:r>
        <w:rPr>
          <w:rFonts w:hint="eastAsia" w:ascii="仿宋" w:hAnsi="仿宋" w:eastAsia="仿宋" w:cs="仿宋"/>
          <w:b/>
          <w:bCs/>
          <w:i w:val="0"/>
          <w:iCs w:val="0"/>
          <w:color w:val="000000" w:themeColor="text1"/>
          <w:kern w:val="2"/>
          <w:sz w:val="24"/>
          <w:szCs w:val="24"/>
          <w:highlight w:val="none"/>
          <w:vertAlign w:val="baseline"/>
          <w:lang w:val="en-US" w:eastAsia="zh-CN" w:bidi="ar-SA"/>
          <w14:textFill>
            <w14:solidFill>
              <w14:schemeClr w14:val="tx1"/>
            </w14:solidFill>
          </w14:textFill>
        </w:rPr>
        <w:t>图5-2  产教融合一体化课程</w:t>
      </w:r>
    </w:p>
    <w:p w14:paraId="3C148A88">
      <w:pPr>
        <w:spacing w:line="560" w:lineRule="exact"/>
        <w:rPr>
          <w:rFonts w:hint="eastAsia" w:ascii="黑体" w:hAnsi="黑体" w:eastAsia="黑体" w:cs="黑体"/>
          <w:b/>
          <w:bCs/>
          <w:i w:val="0"/>
          <w:iCs w:val="0"/>
          <w:color w:val="000000" w:themeColor="text1"/>
          <w:kern w:val="2"/>
          <w:sz w:val="30"/>
          <w:szCs w:val="30"/>
          <w:highlight w:val="none"/>
          <w:vertAlign w:val="baseline"/>
          <w:lang w:val="en-US" w:eastAsia="zh-CN" w:bidi="ar-SA"/>
          <w14:textFill>
            <w14:solidFill>
              <w14:schemeClr w14:val="tx1"/>
            </w14:solidFill>
          </w14:textFill>
        </w:rPr>
      </w:pPr>
      <w:r>
        <w:rPr>
          <w:rFonts w:hint="eastAsia" w:ascii="黑体" w:hAnsi="黑体" w:eastAsia="黑体" w:cs="黑体"/>
          <w:b/>
          <w:bCs/>
          <w:i w:val="0"/>
          <w:iCs w:val="0"/>
          <w:color w:val="000000" w:themeColor="text1"/>
          <w:kern w:val="2"/>
          <w:sz w:val="30"/>
          <w:szCs w:val="30"/>
          <w:highlight w:val="none"/>
          <w:vertAlign w:val="baseline"/>
          <w:lang w:val="en-US" w:eastAsia="zh-CN" w:bidi="ar-SA"/>
          <w14:textFill>
            <w14:solidFill>
              <w14:schemeClr w14:val="tx1"/>
            </w14:solidFill>
          </w14:textFill>
        </w:rPr>
        <w:t>案例5-2</w:t>
      </w:r>
    </w:p>
    <w:p w14:paraId="07666DBF">
      <w:pPr>
        <w:spacing w:line="560" w:lineRule="exact"/>
        <w:jc w:val="center"/>
        <w:rPr>
          <w:rFonts w:hint="default" w:ascii="仿宋" w:hAnsi="仿宋" w:eastAsia="仿宋" w:cs="仿宋"/>
          <w:b/>
          <w:bCs/>
          <w:i w:val="0"/>
          <w:iCs w:val="0"/>
          <w:color w:val="000000" w:themeColor="text1"/>
          <w:kern w:val="2"/>
          <w:sz w:val="30"/>
          <w:szCs w:val="30"/>
          <w:highlight w:val="none"/>
          <w:vertAlign w:val="baseline"/>
          <w:lang w:val="en-US" w:eastAsia="zh-CN" w:bidi="ar-SA"/>
          <w14:textFill>
            <w14:solidFill>
              <w14:schemeClr w14:val="tx1"/>
            </w14:solidFill>
          </w14:textFill>
        </w:rPr>
      </w:pPr>
      <w:r>
        <w:rPr>
          <w:rFonts w:hint="default" w:ascii="仿宋" w:hAnsi="仿宋" w:eastAsia="仿宋" w:cs="仿宋"/>
          <w:b/>
          <w:bCs/>
          <w:i w:val="0"/>
          <w:iCs w:val="0"/>
          <w:color w:val="000000" w:themeColor="text1"/>
          <w:kern w:val="2"/>
          <w:sz w:val="30"/>
          <w:szCs w:val="30"/>
          <w:highlight w:val="none"/>
          <w:vertAlign w:val="baseline"/>
          <w:lang w:val="en-US" w:eastAsia="zh-CN" w:bidi="ar-SA"/>
          <w14:textFill>
            <w14:solidFill>
              <w14:schemeClr w14:val="tx1"/>
            </w14:solidFill>
          </w14:textFill>
        </w:rPr>
        <w:t>引企入校与大师双轮驱动</w:t>
      </w:r>
      <w:r>
        <w:rPr>
          <w:rFonts w:hint="eastAsia" w:ascii="仿宋" w:hAnsi="仿宋" w:eastAsia="仿宋" w:cs="仿宋"/>
          <w:b/>
          <w:bCs/>
          <w:i w:val="0"/>
          <w:iCs w:val="0"/>
          <w:color w:val="000000" w:themeColor="text1"/>
          <w:kern w:val="2"/>
          <w:sz w:val="30"/>
          <w:szCs w:val="30"/>
          <w:highlight w:val="none"/>
          <w:vertAlign w:val="baseline"/>
          <w:lang w:val="en-US" w:eastAsia="zh-CN" w:bidi="ar-SA"/>
          <w14:textFill>
            <w14:solidFill>
              <w14:schemeClr w14:val="tx1"/>
            </w14:solidFill>
          </w14:textFill>
        </w:rPr>
        <w:t>融合育人</w:t>
      </w:r>
    </w:p>
    <w:p w14:paraId="29C311EA">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default" w:ascii="仿宋" w:hAnsi="仿宋" w:eastAsia="仿宋" w:cs="仿宋"/>
          <w:b/>
          <w:bCs/>
          <w:i w:val="0"/>
          <w:iCs w:val="0"/>
          <w:color w:val="000000" w:themeColor="text1"/>
          <w:kern w:val="2"/>
          <w:sz w:val="24"/>
          <w:szCs w:val="24"/>
          <w:highlight w:val="none"/>
          <w:vertAlign w:val="baseline"/>
          <w:lang w:val="en-US" w:eastAsia="zh-CN" w:bidi="ar-SA"/>
          <w14:textFill>
            <w14:solidFill>
              <w14:schemeClr w14:val="tx1"/>
            </w14:solidFill>
          </w14:textFill>
        </w:rPr>
      </w:pPr>
      <w:r>
        <w:rPr>
          <w:rFonts w:hint="default" w:ascii="仿宋" w:hAnsi="仿宋" w:eastAsia="仿宋" w:cs="仿宋"/>
          <w:b/>
          <w:bCs/>
          <w:i w:val="0"/>
          <w:iCs w:val="0"/>
          <w:color w:val="000000" w:themeColor="text1"/>
          <w:kern w:val="2"/>
          <w:sz w:val="24"/>
          <w:szCs w:val="24"/>
          <w:highlight w:val="none"/>
          <w:vertAlign w:val="baseline"/>
          <w:lang w:val="en-US" w:eastAsia="zh-CN" w:bidi="ar-SA"/>
          <w14:textFill>
            <w14:solidFill>
              <w14:schemeClr w14:val="tx1"/>
            </w14:solidFill>
          </w14:textFill>
        </w:rPr>
        <w:t>具体做法：</w:t>
      </w:r>
    </w:p>
    <w:p w14:paraId="1DB7186E">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default"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引企入校，共建实训生态</w:t>
      </w:r>
      <w:r>
        <w:rPr>
          <w:rFonts w:hint="eastAsia"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w:t>
      </w:r>
      <w:r>
        <w:rPr>
          <w:rFonts w:hint="default"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引入对口企业的先进设备、生产线与管理标准，在校内共建“教学工厂”。企业工程师定期驻校授课，生产性实训项目直接融入课程体系，实现教学过程与生产流程的无缝对接。</w:t>
      </w:r>
    </w:p>
    <w:p w14:paraId="75984205">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default"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大师引领，赋能师资成长</w:t>
      </w:r>
      <w:r>
        <w:rPr>
          <w:rFonts w:hint="eastAsia"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w:t>
      </w:r>
      <w:r>
        <w:rPr>
          <w:rFonts w:hint="default"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聘请行业技术大师、非遗传承人建立“大师工作室”，通过“传、帮、带”机制，指导青年教师。校企联合设计培养方案，大师直接授课、指导技能攻关，将前沿技术与绝技绝活传承至课堂。</w:t>
      </w:r>
    </w:p>
    <w:p w14:paraId="7E466B75">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default"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pPr>
      <w:r>
        <w:rPr>
          <w:rFonts w:hint="default"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推广应用</w:t>
      </w:r>
      <w:r>
        <w:rPr>
          <w:rFonts w:hint="eastAsia"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w:t>
      </w:r>
      <w:r>
        <w:rPr>
          <w:rFonts w:hint="default" w:ascii="仿宋" w:hAnsi="仿宋" w:eastAsia="仿宋" w:cs="仿宋"/>
          <w:b w:val="0"/>
          <w:bCs w:val="0"/>
          <w:i w:val="0"/>
          <w:iCs w:val="0"/>
          <w:color w:val="000000" w:themeColor="text1"/>
          <w:kern w:val="2"/>
          <w:sz w:val="24"/>
          <w:szCs w:val="24"/>
          <w:highlight w:val="none"/>
          <w:vertAlign w:val="baseline"/>
          <w:lang w:val="en-US" w:eastAsia="zh-CN" w:bidi="ar-SA"/>
          <w14:textFill>
            <w14:solidFill>
              <w14:schemeClr w14:val="tx1"/>
            </w14:solidFill>
          </w14:textFill>
        </w:rPr>
        <w:t>该模式通过固化校企协同育人机制，已推广至区域内多所职业院校。形成了一套可复制的“校中厂”建设标准与大师工作室运行规范，有效提升了专业与产业的匹配度。</w:t>
      </w:r>
    </w:p>
    <w:p w14:paraId="492BC774">
      <w:pPr>
        <w:keepNext w:val="0"/>
        <w:keepLines w:val="0"/>
        <w:pageBreakBefore w:val="0"/>
        <w:widowControl w:val="0"/>
        <w:kinsoku/>
        <w:wordWrap/>
        <w:overflowPunct/>
        <w:topLinePunct w:val="0"/>
        <w:autoSpaceDE/>
        <w:autoSpaceDN/>
        <w:bidi w:val="0"/>
        <w:adjustRightInd/>
        <w:snapToGrid/>
        <w:spacing w:line="440" w:lineRule="exact"/>
        <w:ind w:firstLine="480" w:firstLineChars="200"/>
        <w:jc w:val="center"/>
        <w:textAlignment w:val="auto"/>
        <w:rPr>
          <w:rFonts w:hint="default" w:ascii="仿宋" w:hAnsi="仿宋" w:eastAsia="仿宋" w:cs="仿宋"/>
          <w:b/>
          <w:bCs/>
          <w:i w:val="0"/>
          <w:iCs w:val="0"/>
          <w:color w:val="000000" w:themeColor="text1"/>
          <w:kern w:val="2"/>
          <w:sz w:val="24"/>
          <w:szCs w:val="24"/>
          <w:highlight w:val="none"/>
          <w:vertAlign w:val="baseline"/>
          <w:lang w:val="en-US" w:eastAsia="zh-CN" w:bidi="ar-SA"/>
          <w14:textFill>
            <w14:solidFill>
              <w14:schemeClr w14:val="tx1"/>
            </w14:solidFill>
          </w14:textFill>
        </w:rPr>
      </w:pPr>
      <w:r>
        <w:rPr>
          <w:rFonts w:hint="eastAsia" w:eastAsia="宋体"/>
          <w:color w:val="000000" w:themeColor="text1"/>
          <w:sz w:val="24"/>
          <w:szCs w:val="24"/>
          <w:lang w:eastAsia="zh-CN"/>
          <w14:textFill>
            <w14:solidFill>
              <w14:schemeClr w14:val="tx1"/>
            </w14:solidFill>
          </w14:textFill>
        </w:rPr>
        <w:drawing>
          <wp:anchor distT="0" distB="0" distL="114300" distR="114300" simplePos="0" relativeHeight="251670528" behindDoc="0" locked="0" layoutInCell="1" allowOverlap="1">
            <wp:simplePos x="0" y="0"/>
            <wp:positionH relativeFrom="column">
              <wp:posOffset>434340</wp:posOffset>
            </wp:positionH>
            <wp:positionV relativeFrom="paragraph">
              <wp:posOffset>165100</wp:posOffset>
            </wp:positionV>
            <wp:extent cx="4679950" cy="2792730"/>
            <wp:effectExtent l="0" t="0" r="6350" b="7620"/>
            <wp:wrapTopAndBottom/>
            <wp:docPr id="29" name="图片 29" descr="lQDPJxDkfvGl-43NBP_NCx-wx3tORuaWK8MF98bpx1UeAQ_2847_1279"/>
            <wp:cNvGraphicFramePr/>
            <a:graphic xmlns:a="http://schemas.openxmlformats.org/drawingml/2006/main">
              <a:graphicData uri="http://schemas.openxmlformats.org/drawingml/2006/picture">
                <pic:pic xmlns:pic="http://schemas.openxmlformats.org/drawingml/2006/picture">
                  <pic:nvPicPr>
                    <pic:cNvPr id="29" name="图片 29" descr="lQDPJxDkfvGl-43NBP_NCx-wx3tORuaWK8MF98bpx1UeAQ_2847_1279"/>
                    <pic:cNvPicPr/>
                  </pic:nvPicPr>
                  <pic:blipFill>
                    <a:blip r:embed="rId33"/>
                    <a:srcRect l="21883" r="17993"/>
                    <a:stretch>
                      <a:fillRect/>
                    </a:stretch>
                  </pic:blipFill>
                  <pic:spPr>
                    <a:xfrm>
                      <a:off x="0" y="0"/>
                      <a:ext cx="4679950" cy="2792730"/>
                    </a:xfrm>
                    <a:prstGeom prst="rect">
                      <a:avLst/>
                    </a:prstGeom>
                  </pic:spPr>
                </pic:pic>
              </a:graphicData>
            </a:graphic>
          </wp:anchor>
        </w:drawing>
      </w:r>
      <w:r>
        <w:rPr>
          <w:rFonts w:hint="eastAsia" w:ascii="仿宋" w:hAnsi="仿宋" w:eastAsia="仿宋" w:cs="仿宋"/>
          <w:b/>
          <w:bCs/>
          <w:i w:val="0"/>
          <w:iCs w:val="0"/>
          <w:color w:val="000000" w:themeColor="text1"/>
          <w:kern w:val="2"/>
          <w:sz w:val="24"/>
          <w:szCs w:val="24"/>
          <w:highlight w:val="none"/>
          <w:vertAlign w:val="baseline"/>
          <w:lang w:val="en-US" w:eastAsia="zh-CN" w:bidi="ar-SA"/>
          <w14:textFill>
            <w14:solidFill>
              <w14:schemeClr w14:val="tx1"/>
            </w14:solidFill>
          </w14:textFill>
        </w:rPr>
        <w:t>图5-3 产教融合之学生实操</w:t>
      </w:r>
    </w:p>
    <w:p w14:paraId="14DD775E">
      <w:pPr>
        <w:keepNext w:val="0"/>
        <w:keepLines w:val="0"/>
        <w:pageBreakBefore w:val="0"/>
        <w:numPr>
          <w:ilvl w:val="0"/>
          <w:numId w:val="0"/>
        </w:numPr>
        <w:kinsoku/>
        <w:wordWrap/>
        <w:overflowPunct/>
        <w:topLinePunct w:val="0"/>
        <w:autoSpaceDE/>
        <w:autoSpaceDN/>
        <w:bidi w:val="0"/>
        <w:spacing w:before="157" w:beforeLines="50" w:after="157" w:afterLines="50" w:line="440" w:lineRule="exact"/>
        <w:ind w:leftChars="0" w:firstLine="602" w:firstLineChars="200"/>
        <w:jc w:val="both"/>
        <w:textAlignment w:val="auto"/>
        <w:rPr>
          <w:rFonts w:hint="eastAsia" w:ascii="黑体" w:hAnsi="黑体" w:eastAsia="黑体" w:cs="黑体"/>
          <w:b/>
          <w:bCs/>
          <w:color w:val="000000" w:themeColor="text1"/>
          <w:sz w:val="30"/>
          <w:szCs w:val="30"/>
          <w:lang w:val="en-US" w:eastAsia="zh-CN"/>
          <w14:textFill>
            <w14:solidFill>
              <w14:schemeClr w14:val="tx1"/>
            </w14:solidFill>
          </w14:textFill>
        </w:rPr>
      </w:pPr>
      <w:r>
        <w:rPr>
          <w:rFonts w:hint="eastAsia" w:ascii="黑体" w:hAnsi="黑体" w:eastAsia="黑体" w:cs="黑体"/>
          <w:b/>
          <w:bCs/>
          <w:color w:val="000000" w:themeColor="text1"/>
          <w:sz w:val="30"/>
          <w:szCs w:val="30"/>
          <w:lang w:val="en-US" w:eastAsia="zh-CN"/>
          <w14:textFill>
            <w14:solidFill>
              <w14:schemeClr w14:val="tx1"/>
            </w14:solidFill>
          </w14:textFill>
        </w:rPr>
        <w:t>6.发展保障</w:t>
      </w:r>
    </w:p>
    <w:p w14:paraId="2A378B05">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学校以党建引领为核心，全面筑牢发展根基。通过完善内部治理，实施专业分校二级管理与项目化运作，激发办学活力。系统构建分层师资培养与质量保证体系，并依托精准化经费投入，持续升级硬件设施与实训条件，为高质量技术技能人才培养提供了坚实的政治、制度、师资与物质保障。</w:t>
      </w:r>
    </w:p>
    <w:p w14:paraId="7568BCFF">
      <w:pPr>
        <w:keepNext w:val="0"/>
        <w:keepLines w:val="0"/>
        <w:pageBreakBefore w:val="0"/>
        <w:widowControl/>
        <w:kinsoku/>
        <w:wordWrap/>
        <w:overflowPunct/>
        <w:topLinePunct w:val="0"/>
        <w:autoSpaceDE/>
        <w:autoSpaceDN/>
        <w:bidi w:val="0"/>
        <w:adjustRightInd w:val="0"/>
        <w:snapToGrid w:val="0"/>
        <w:spacing w:line="440" w:lineRule="exact"/>
        <w:ind w:right="300" w:firstLine="562" w:firstLineChars="200"/>
        <w:jc w:val="both"/>
        <w:textAlignment w:val="auto"/>
        <w:rPr>
          <w:rFonts w:hint="eastAsia" w:ascii="宋体" w:hAnsi="宋体" w:eastAsia="宋体" w:cs="宋体"/>
          <w:b/>
          <w:bCs/>
          <w:color w:val="000000" w:themeColor="text1"/>
          <w:kern w:val="0"/>
          <w:sz w:val="28"/>
          <w:szCs w:val="28"/>
          <w:lang w:val="en-US" w:eastAsia="zh-CN"/>
          <w14:textFill>
            <w14:solidFill>
              <w14:schemeClr w14:val="tx1"/>
            </w14:solidFill>
          </w14:textFill>
        </w:rPr>
      </w:pPr>
      <w:r>
        <w:rPr>
          <w:rFonts w:hint="eastAsia" w:ascii="黑体" w:hAnsi="黑体" w:eastAsia="黑体" w:cs="黑体"/>
          <w:b/>
          <w:bCs/>
          <w:color w:val="000000" w:themeColor="text1"/>
          <w:kern w:val="0"/>
          <w:sz w:val="28"/>
          <w:szCs w:val="28"/>
          <w14:textFill>
            <w14:solidFill>
              <w14:schemeClr w14:val="tx1"/>
            </w14:solidFill>
          </w14:textFill>
        </w:rPr>
        <w:t>6.1</w:t>
      </w:r>
      <w:r>
        <w:rPr>
          <w:rFonts w:hint="eastAsia" w:ascii="黑体" w:hAnsi="黑体" w:eastAsia="黑体" w:cs="黑体"/>
          <w:b/>
          <w:bCs/>
          <w:color w:val="000000" w:themeColor="text1"/>
          <w:kern w:val="0"/>
          <w:sz w:val="28"/>
          <w:szCs w:val="28"/>
          <w:lang w:val="en-US" w:eastAsia="zh-CN"/>
          <w14:textFill>
            <w14:solidFill>
              <w14:schemeClr w14:val="tx1"/>
            </w14:solidFill>
          </w14:textFill>
        </w:rPr>
        <w:t>党建引领</w:t>
      </w:r>
    </w:p>
    <w:p w14:paraId="0693BEF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杭锦后旗职业教育</w:t>
      </w:r>
      <w:r>
        <w:rPr>
          <w:rFonts w:hint="eastAsia" w:ascii="宋体" w:hAnsi="宋体" w:eastAsia="宋体" w:cs="宋体"/>
          <w:color w:val="000000" w:themeColor="text1"/>
          <w:sz w:val="24"/>
          <w:szCs w:val="24"/>
          <w:lang w:val="en-US" w:eastAsia="zh-CN"/>
          <w14:textFill>
            <w14:solidFill>
              <w14:schemeClr w14:val="tx1"/>
            </w14:solidFill>
          </w14:textFill>
        </w:rPr>
        <w:t>中心</w:t>
      </w:r>
      <w:r>
        <w:rPr>
          <w:rFonts w:hint="eastAsia" w:ascii="宋体" w:hAnsi="宋体" w:eastAsia="宋体" w:cs="宋体"/>
          <w:color w:val="000000" w:themeColor="text1"/>
          <w:sz w:val="24"/>
          <w:szCs w:val="24"/>
          <w:lang w:eastAsia="zh-CN"/>
          <w14:textFill>
            <w14:solidFill>
              <w14:schemeClr w14:val="tx1"/>
            </w14:solidFill>
          </w14:textFill>
        </w:rPr>
        <w:t>党总支共有党员</w:t>
      </w:r>
      <w:r>
        <w:rPr>
          <w:rFonts w:hint="eastAsia" w:ascii="宋体" w:hAnsi="宋体" w:eastAsia="宋体" w:cs="宋体"/>
          <w:color w:val="000000" w:themeColor="text1"/>
          <w:sz w:val="24"/>
          <w:szCs w:val="24"/>
          <w:lang w:val="en-US" w:eastAsia="zh-CN"/>
          <w14:textFill>
            <w14:solidFill>
              <w14:schemeClr w14:val="tx1"/>
            </w14:solidFill>
          </w14:textFill>
        </w:rPr>
        <w:t>224</w:t>
      </w:r>
      <w:r>
        <w:rPr>
          <w:rFonts w:hint="eastAsia" w:ascii="宋体" w:hAnsi="宋体" w:eastAsia="宋体" w:cs="宋体"/>
          <w:color w:val="000000" w:themeColor="text1"/>
          <w:sz w:val="24"/>
          <w:szCs w:val="24"/>
          <w:lang w:eastAsia="zh-CN"/>
          <w14:textFill>
            <w14:solidFill>
              <w14:schemeClr w14:val="tx1"/>
            </w14:solidFill>
          </w14:textFill>
        </w:rPr>
        <w:t>名，其中在职党员</w:t>
      </w:r>
      <w:r>
        <w:rPr>
          <w:rFonts w:hint="eastAsia" w:ascii="宋体" w:hAnsi="宋体" w:eastAsia="宋体" w:cs="宋体"/>
          <w:color w:val="000000" w:themeColor="text1"/>
          <w:sz w:val="24"/>
          <w:szCs w:val="24"/>
          <w:lang w:val="en-US" w:eastAsia="zh-CN"/>
          <w14:textFill>
            <w14:solidFill>
              <w14:schemeClr w14:val="tx1"/>
            </w14:solidFill>
          </w14:textFill>
        </w:rPr>
        <w:t>79</w:t>
      </w:r>
      <w:r>
        <w:rPr>
          <w:rFonts w:hint="eastAsia" w:ascii="宋体" w:hAnsi="宋体" w:eastAsia="宋体" w:cs="宋体"/>
          <w:color w:val="000000" w:themeColor="text1"/>
          <w:sz w:val="24"/>
          <w:szCs w:val="24"/>
          <w:lang w:eastAsia="zh-CN"/>
          <w14:textFill>
            <w14:solidFill>
              <w14:schemeClr w14:val="tx1"/>
            </w14:solidFill>
          </w14:textFill>
        </w:rPr>
        <w:t>人。</w:t>
      </w:r>
      <w:r>
        <w:rPr>
          <w:rFonts w:hint="eastAsia" w:ascii="宋体" w:hAnsi="宋体" w:eastAsia="宋体" w:cs="宋体"/>
          <w:color w:val="000000" w:themeColor="text1"/>
          <w:sz w:val="24"/>
          <w:szCs w:val="24"/>
          <w:lang w:val="en-US" w:eastAsia="zh-CN"/>
          <w14:textFill>
            <w14:solidFill>
              <w14:schemeClr w14:val="tx1"/>
            </w14:solidFill>
          </w14:textFill>
        </w:rPr>
        <w:t>本年度</w:t>
      </w:r>
      <w:r>
        <w:rPr>
          <w:rFonts w:hint="eastAsia" w:ascii="宋体" w:hAnsi="宋体" w:eastAsia="宋体" w:cs="宋体"/>
          <w:color w:val="000000" w:themeColor="text1"/>
          <w:sz w:val="24"/>
          <w:szCs w:val="24"/>
          <w:lang w:eastAsia="zh-CN"/>
          <w14:textFill>
            <w14:solidFill>
              <w14:schemeClr w14:val="tx1"/>
            </w14:solidFill>
          </w14:textFill>
        </w:rPr>
        <w:t>学校构建以制度为基、以品牌为翼、以阵地为核的党建工作新格局。通过系统修订18项党建制度，明晰党组织在学校决策中的核心领导地位，并以“三会一课”等常态化机制筑牢党员思想根基。打造“优学领航，铸魂培青”党建品牌及其“1236”工作体系，将党的领导融入教育教学全过程，通过“名师工作室”“党员示范课”等项目，使党建引领成为提升教学质量的鲜明底色。建成的思政教育基地作为红色阵地，将党史学习教育与师德涵养、学生德育紧密结合。学校积极探索“党建+”多元融合模式，将党建工作与教学科研、课程思政、意识形态安全及廉洁校园建设同部署、同落实，确保党对学校工作的全面领导贯穿于教书育人的每一个环节，有效推动了党建与业务双融互促，为培养高素质技术技能人才提供了坚强的政治和组织保障。</w:t>
      </w:r>
    </w:p>
    <w:p w14:paraId="217A284F">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41"/>
          <w:rFonts w:hint="eastAsia" w:ascii="黑体" w:hAnsi="黑体" w:eastAsia="黑体" w:cs="黑体"/>
          <w:b/>
          <w:bCs w:val="0"/>
          <w:color w:val="000000" w:themeColor="text1"/>
          <w14:textFill>
            <w14:solidFill>
              <w14:schemeClr w14:val="tx1"/>
            </w14:solidFill>
          </w14:textFill>
        </w:rPr>
      </w:pPr>
    </w:p>
    <w:p w14:paraId="16F41212">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41"/>
          <w:rFonts w:hint="eastAsia" w:ascii="黑体" w:hAnsi="黑体" w:eastAsia="黑体" w:cs="黑体"/>
          <w:b/>
          <w:bCs w:val="0"/>
          <w:color w:val="000000" w:themeColor="text1"/>
          <w14:textFill>
            <w14:solidFill>
              <w14:schemeClr w14:val="tx1"/>
            </w14:solidFill>
          </w14:textFill>
        </w:rPr>
      </w:pPr>
    </w:p>
    <w:p w14:paraId="0381EA43">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41"/>
          <w:rFonts w:hint="eastAsia" w:ascii="黑体" w:hAnsi="黑体" w:eastAsia="黑体" w:cs="黑体"/>
          <w:b/>
          <w:bCs w:val="0"/>
          <w:color w:val="000000" w:themeColor="text1"/>
          <w:lang w:val="en-US" w:eastAsia="zh-CN"/>
          <w14:textFill>
            <w14:solidFill>
              <w14:schemeClr w14:val="tx1"/>
            </w14:solidFill>
          </w14:textFill>
        </w:rPr>
      </w:pPr>
      <w:r>
        <w:rPr>
          <w:rStyle w:val="41"/>
          <w:rFonts w:hint="eastAsia" w:ascii="黑体" w:hAnsi="黑体" w:eastAsia="黑体" w:cs="黑体"/>
          <w:b/>
          <w:bCs w:val="0"/>
          <w:color w:val="000000" w:themeColor="text1"/>
          <w14:textFill>
            <w14:solidFill>
              <w14:schemeClr w14:val="tx1"/>
            </w14:solidFill>
          </w14:textFill>
        </w:rPr>
        <w:t>6.2</w:t>
      </w:r>
      <w:r>
        <w:rPr>
          <w:rStyle w:val="41"/>
          <w:rFonts w:hint="eastAsia" w:ascii="黑体" w:hAnsi="黑体" w:eastAsia="黑体" w:cs="黑体"/>
          <w:b/>
          <w:bCs w:val="0"/>
          <w:color w:val="000000" w:themeColor="text1"/>
          <w:lang w:val="en-US" w:eastAsia="zh-CN"/>
          <w14:textFill>
            <w14:solidFill>
              <w14:schemeClr w14:val="tx1"/>
            </w14:solidFill>
          </w14:textFill>
        </w:rPr>
        <w:t>政策落实</w:t>
      </w:r>
    </w:p>
    <w:p w14:paraId="03E9981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12" w:firstLineChars="200"/>
        <w:jc w:val="both"/>
        <w:textAlignment w:val="auto"/>
        <w:rPr>
          <w:rFonts w:hint="eastAsia" w:ascii="宋体" w:hAnsi="宋体" w:eastAsia="宋体" w:cs="宋体"/>
          <w:i w:val="0"/>
          <w:iCs w:val="0"/>
          <w:caps w:val="0"/>
          <w:color w:val="000000" w:themeColor="text1"/>
          <w:spacing w:val="8"/>
          <w:sz w:val="24"/>
          <w:szCs w:val="24"/>
          <w:shd w:val="clear" w:fill="FFFFFF"/>
          <w:lang w:val="en-US" w:eastAsia="zh-CN"/>
          <w14:textFill>
            <w14:solidFill>
              <w14:schemeClr w14:val="tx1"/>
            </w14:solidFill>
          </w14:textFill>
        </w:rPr>
      </w:pPr>
      <w:r>
        <w:rPr>
          <w:rFonts w:hint="eastAsia" w:ascii="宋体" w:hAnsi="宋体" w:eastAsia="宋体" w:cs="宋体"/>
          <w:i w:val="0"/>
          <w:iCs w:val="0"/>
          <w:caps w:val="0"/>
          <w:color w:val="000000" w:themeColor="text1"/>
          <w:spacing w:val="8"/>
          <w:sz w:val="24"/>
          <w:szCs w:val="24"/>
          <w:shd w:val="clear" w:fill="FFFFFF"/>
          <w:lang w:val="en-US" w:eastAsia="zh-CN"/>
          <w14:textFill>
            <w14:solidFill>
              <w14:schemeClr w14:val="tx1"/>
            </w14:solidFill>
          </w14:textFill>
        </w:rPr>
        <w:t>我校将政策执行作为办学发展的根本遵循，严格贯彻落实《中华人民共和国职业教育法》《职业学校学生实习管理规定》等法律法规，牢牢把握教育质量这条生命线，以高质量发展为导向，持续推动职业教育提质增效。</w:t>
      </w:r>
    </w:p>
    <w:p w14:paraId="355AD922">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12" w:firstLineChars="200"/>
        <w:jc w:val="both"/>
        <w:textAlignment w:val="auto"/>
        <w:rPr>
          <w:rFonts w:hint="eastAsia" w:ascii="宋体" w:hAnsi="宋体" w:eastAsia="宋体" w:cs="宋体"/>
          <w:i w:val="0"/>
          <w:iCs w:val="0"/>
          <w:caps w:val="0"/>
          <w:color w:val="000000" w:themeColor="text1"/>
          <w:spacing w:val="8"/>
          <w:sz w:val="24"/>
          <w:szCs w:val="24"/>
          <w:shd w:val="clear" w:fill="FFFFFF"/>
          <w:lang w:val="en-US" w:eastAsia="zh-CN"/>
          <w14:textFill>
            <w14:solidFill>
              <w14:schemeClr w14:val="tx1"/>
            </w14:solidFill>
          </w14:textFill>
        </w:rPr>
      </w:pPr>
      <w:r>
        <w:rPr>
          <w:rFonts w:hint="eastAsia" w:ascii="宋体" w:hAnsi="宋体" w:eastAsia="宋体" w:cs="宋体"/>
          <w:i w:val="0"/>
          <w:iCs w:val="0"/>
          <w:caps w:val="0"/>
          <w:color w:val="000000" w:themeColor="text1"/>
          <w:spacing w:val="8"/>
          <w:sz w:val="24"/>
          <w:szCs w:val="24"/>
          <w:shd w:val="clear" w:fill="FFFFFF"/>
          <w:lang w:val="en-US" w:eastAsia="zh-CN"/>
          <w14:textFill>
            <w14:solidFill>
              <w14:schemeClr w14:val="tx1"/>
            </w14:solidFill>
          </w14:textFill>
        </w:rPr>
        <w:t>一是加强政策宣导与氛围营造。面向学生、家长及社会公众，系统开展职业教育法规与惠民政策宣讲，重点解读职教发展支持措施及免学费政策。通过专题培训、家校共育、线上宣传等多种途径，着力转变“重普通教育、轻职业教育”的观念，引导学生树立科学的成长观、就业观，不断提升职业教育的社会认同度和吸引力。二是筑牢立德树人根基。坚持以社会主义核心价值观为引领，将爱国主义、诚信守法、敬业奉献等素养培养融入教学、实训与校园文化建设的各环节，构建全员、全过程、全方位育人格局。注重引导学生树立正确的世界观、人生观、价值观，切实落实立德树人根本任务，努力培养既有高尚品德又有扎实技能的高素质人才。三是做实学生资助保障。严格执行国家及地方资助政策，认真做好免学费、国家助学金和家庭经济困难学生帮扶工作。规范资助对象的认定、申请、评审、公示和发放流程，确保资助资金精准、及时、合规到位，切实减轻学生求学负担，护航学生成长成才。</w:t>
      </w:r>
    </w:p>
    <w:p w14:paraId="745126B6">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12" w:firstLineChars="200"/>
        <w:jc w:val="both"/>
        <w:textAlignment w:val="auto"/>
        <w:rPr>
          <w:rFonts w:hint="eastAsia" w:ascii="宋体" w:hAnsi="宋体" w:eastAsia="宋体" w:cs="宋体"/>
          <w:i w:val="0"/>
          <w:iCs w:val="0"/>
          <w:caps w:val="0"/>
          <w:color w:val="000000" w:themeColor="text1"/>
          <w:spacing w:val="8"/>
          <w:sz w:val="24"/>
          <w:szCs w:val="24"/>
          <w:shd w:val="clear" w:fill="FFFFFF"/>
          <w:lang w:val="en-US" w:eastAsia="zh-CN"/>
          <w14:textFill>
            <w14:solidFill>
              <w14:schemeClr w14:val="tx1"/>
            </w14:solidFill>
          </w14:textFill>
        </w:rPr>
      </w:pPr>
      <w:r>
        <w:rPr>
          <w:rFonts w:hint="eastAsia" w:ascii="宋体" w:hAnsi="宋体" w:eastAsia="宋体" w:cs="宋体"/>
          <w:i w:val="0"/>
          <w:iCs w:val="0"/>
          <w:caps w:val="0"/>
          <w:color w:val="000000" w:themeColor="text1"/>
          <w:spacing w:val="8"/>
          <w:sz w:val="24"/>
          <w:szCs w:val="24"/>
          <w:shd w:val="clear" w:fill="FFFFFF"/>
          <w:lang w:val="en-US" w:eastAsia="zh-CN"/>
          <w14:textFill>
            <w14:solidFill>
              <w14:schemeClr w14:val="tx1"/>
            </w14:solidFill>
          </w14:textFill>
        </w:rPr>
        <w:t>为更好地服务区域经济社会发展，加速培养高素质技能人才，我校不断深化办学改革。一方面着力改善办学条件，增强综合实力，建设高水平的技能人才培养基地；另一方面聚焦内涵提升，创新实施“校企合作、工学交替、弹性学制”相结合的人才培养模式，紧密对接产业需求培养实用型人才。同时，积极拓展社会服务功能，面向社会开展多类型、多层次的职业技能培训，助力构建技能型社会。学校办学成果获得广泛认可，先后被评为国家级、自治区级高技能人才培训基地，并获评全国职工教育培训示范点、自治区家庭服务职业培训示范基地、市级示范性就业技能实训基地等，为地方产业转型与经济发展提供了有力的人才支持。</w:t>
      </w:r>
    </w:p>
    <w:p w14:paraId="255BD4BC">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41"/>
          <w:rFonts w:hint="eastAsia" w:ascii="黑体" w:hAnsi="黑体" w:eastAsia="黑体" w:cs="黑体"/>
          <w:b/>
          <w:bCs w:val="0"/>
          <w:color w:val="000000" w:themeColor="text1"/>
          <w:lang w:val="en-US" w:eastAsia="zh-CN"/>
          <w14:textFill>
            <w14:solidFill>
              <w14:schemeClr w14:val="tx1"/>
            </w14:solidFill>
          </w14:textFill>
        </w:rPr>
      </w:pPr>
      <w:r>
        <w:rPr>
          <w:rStyle w:val="41"/>
          <w:rFonts w:hint="eastAsia" w:ascii="黑体" w:hAnsi="黑体" w:eastAsia="黑体" w:cs="黑体"/>
          <w:b/>
          <w:bCs w:val="0"/>
          <w:color w:val="000000" w:themeColor="text1"/>
          <w14:textFill>
            <w14:solidFill>
              <w14:schemeClr w14:val="tx1"/>
            </w14:solidFill>
          </w14:textFill>
        </w:rPr>
        <w:t>6.</w:t>
      </w:r>
      <w:r>
        <w:rPr>
          <w:rStyle w:val="41"/>
          <w:rFonts w:hint="eastAsia" w:ascii="黑体" w:hAnsi="黑体" w:eastAsia="黑体" w:cs="黑体"/>
          <w:b/>
          <w:bCs w:val="0"/>
          <w:color w:val="000000" w:themeColor="text1"/>
          <w:lang w:val="en-US" w:eastAsia="zh-CN"/>
          <w14:textFill>
            <w14:solidFill>
              <w14:schemeClr w14:val="tx1"/>
            </w14:solidFill>
          </w14:textFill>
        </w:rPr>
        <w:t>4学校治理</w:t>
      </w:r>
    </w:p>
    <w:p w14:paraId="4132A8EE">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我校积极落实办学自主权，在政策允许范围内，自主开展教师招聘、中层干部选拔等工作——根据发展需要制定招聘计划，精准引进紧缺专业师资；按照“能者上、优者奖”的原则选拔中层干部，完善以实绩为导向的激励机制。同时，优化内部机构设置，制定《杭锦后旗职业教育中心奖励性绩效工资考核分配实施细则》《杭锦后旗职业教育中心教职工</w:t>
      </w:r>
      <w:r>
        <w:rPr>
          <w:rFonts w:hint="eastAsia" w:ascii="宋体" w:hAnsi="宋体" w:eastAsia="宋体" w:cs="宋体"/>
          <w:color w:val="000000" w:themeColor="text1"/>
          <w:sz w:val="24"/>
          <w:szCs w:val="24"/>
          <w:lang w:eastAsia="zh-CN"/>
          <w14:textFill>
            <w14:solidFill>
              <w14:schemeClr w14:val="tx1"/>
            </w14:solidFill>
          </w14:textFill>
        </w:rPr>
        <w:t>职称</w:t>
      </w:r>
      <w:r>
        <w:rPr>
          <w:rFonts w:hint="eastAsia" w:ascii="宋体" w:hAnsi="宋体" w:eastAsia="宋体" w:cs="宋体"/>
          <w:color w:val="000000" w:themeColor="text1"/>
          <w:sz w:val="24"/>
          <w:szCs w:val="24"/>
          <w14:textFill>
            <w14:solidFill>
              <w14:schemeClr w14:val="tx1"/>
            </w14:solidFill>
          </w14:textFill>
        </w:rPr>
        <w:t>聘任实施方案》等管理制度，全面激发教职工队伍的积极性与创造力。</w:t>
      </w:r>
      <w:r>
        <w:rPr>
          <w:rFonts w:hint="eastAsia" w:ascii="宋体" w:hAnsi="宋体" w:eastAsia="宋体" w:cs="宋体"/>
          <w:color w:val="000000" w:themeColor="text1"/>
          <w:sz w:val="24"/>
          <w:szCs w:val="24"/>
          <w:lang w:val="en-US" w:eastAsia="zh-CN"/>
          <w14:textFill>
            <w14:solidFill>
              <w14:schemeClr w14:val="tx1"/>
            </w14:solidFill>
          </w14:textFill>
        </w:rPr>
        <w:t>2025</w:t>
      </w:r>
      <w:r>
        <w:rPr>
          <w:rFonts w:hint="eastAsia" w:ascii="宋体" w:hAnsi="宋体" w:eastAsia="宋体" w:cs="宋体"/>
          <w:color w:val="000000" w:themeColor="text1"/>
          <w:sz w:val="24"/>
          <w:szCs w:val="24"/>
          <w14:textFill>
            <w14:solidFill>
              <w14:schemeClr w14:val="tx1"/>
            </w14:solidFill>
          </w14:textFill>
        </w:rPr>
        <w:t>年，通过事业单位自主招聘和人才引进等多种方式，共引进</w:t>
      </w:r>
      <w:r>
        <w:rPr>
          <w:rFonts w:hint="eastAsia" w:ascii="宋体" w:hAnsi="宋体" w:eastAsia="宋体" w:cs="宋体"/>
          <w:color w:val="000000" w:themeColor="text1"/>
          <w:sz w:val="24"/>
          <w:szCs w:val="24"/>
          <w:lang w:val="en-US" w:eastAsia="zh-CN"/>
          <w14:textFill>
            <w14:solidFill>
              <w14:schemeClr w14:val="tx1"/>
            </w14:solidFill>
          </w14:textFill>
        </w:rPr>
        <w:t>10</w:t>
      </w:r>
      <w:r>
        <w:rPr>
          <w:rFonts w:hint="eastAsia" w:ascii="宋体" w:hAnsi="宋体" w:eastAsia="宋体" w:cs="宋体"/>
          <w:color w:val="000000" w:themeColor="text1"/>
          <w:sz w:val="24"/>
          <w:szCs w:val="24"/>
          <w14:textFill>
            <w14:solidFill>
              <w14:schemeClr w14:val="tx1"/>
            </w14:solidFill>
          </w14:textFill>
        </w:rPr>
        <w:t>名优秀教师，进一步缓解师资压力，为教育教学注入新生力量。</w:t>
      </w:r>
    </w:p>
    <w:p w14:paraId="38013618">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围绕“立德、立责、立行”的办学理念，学校持续构建以“精细化管理、精准化落实”为核心的精准管理文化，明确管理职责，细化工作标准，推动管理责任具体化、履职监督常态化，促进常规管理向纵深发展</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向细节要效益。</w:t>
      </w:r>
    </w:p>
    <w:p w14:paraId="0584B21F">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为保障管理制度落到实处，学校建立了特色运行机制</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坚持“统一领导、逐级负责、项目运作、协同配合”的管理方针，全面实施“五化”管理模式，即管理工作人性化、干部工作项目化、中心工作专业化、常规工作制度化、学生工作课程化。始终贯彻“管理即服务”理念，积极换位思考，精准响应师生需求，以优质服务支撑师生发展，让精准管理融入学校日常运行。</w:t>
      </w:r>
    </w:p>
    <w:p w14:paraId="4B52FCB8">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在此基础上，学校进一步深化管理机制改革</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围绕精准管理目标，持续完善竞争、激励、约束及选人用人机制；依据学校发展规划与实际，在校长负责、党组织监督保障、教职工民主参与的管理体制下，推动管理重心下移、简政放权。为做到“专业的事由专业的人来做”，创新实施专业分校二级管理体制，将全校十大专业整合为护理、汽电、农牧、计财幼旅</w:t>
      </w:r>
      <w:r>
        <w:rPr>
          <w:rFonts w:hint="eastAsia" w:ascii="宋体" w:hAnsi="宋体" w:eastAsia="宋体" w:cs="宋体"/>
          <w:color w:val="000000" w:themeColor="text1"/>
          <w:sz w:val="24"/>
          <w:szCs w:val="24"/>
          <w:lang w:eastAsia="zh-CN"/>
          <w14:textFill>
            <w14:solidFill>
              <w14:schemeClr w14:val="tx1"/>
            </w14:solidFill>
          </w14:textFill>
        </w:rPr>
        <w:t>四</w:t>
      </w:r>
      <w:r>
        <w:rPr>
          <w:rFonts w:hint="eastAsia" w:ascii="宋体" w:hAnsi="宋体" w:eastAsia="宋体" w:cs="宋体"/>
          <w:color w:val="000000" w:themeColor="text1"/>
          <w:sz w:val="24"/>
          <w:szCs w:val="24"/>
          <w14:textFill>
            <w14:solidFill>
              <w14:schemeClr w14:val="tx1"/>
            </w14:solidFill>
          </w14:textFill>
        </w:rPr>
        <w:t>大专业分校，赋予分校更多自主权，实现责权相统一。</w:t>
      </w:r>
    </w:p>
    <w:p w14:paraId="1180408F">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专业分校二级管理+项目式管理”的协同模式，强化了过程管理与资源整合，推动管理重心向教学一线下沉，凝聚了教育教学合力，显著提升了学校整体运行效能。此项改革不仅激发了办学活力，也催生了新的发展动能——在调动各分校和教职工积极性、创造性的同时，加速了专业优化与师资队伍建设，提高了人才培养质量和办学效益，为学校内涵发展、实现长远目标奠定了扎实基础。</w:t>
      </w:r>
    </w:p>
    <w:p w14:paraId="2508BEB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41"/>
          <w:rFonts w:hint="eastAsia" w:ascii="黑体" w:hAnsi="黑体" w:eastAsia="黑体" w:cs="黑体"/>
          <w:b/>
          <w:bCs w:val="0"/>
          <w:color w:val="000000" w:themeColor="text1"/>
          <w:lang w:val="en-US" w:eastAsia="zh-CN"/>
          <w14:textFill>
            <w14:solidFill>
              <w14:schemeClr w14:val="tx1"/>
            </w14:solidFill>
          </w14:textFill>
        </w:rPr>
      </w:pPr>
      <w:r>
        <w:rPr>
          <w:rStyle w:val="41"/>
          <w:rFonts w:hint="eastAsia" w:ascii="黑体" w:hAnsi="黑体" w:eastAsia="黑体" w:cs="黑体"/>
          <w:b/>
          <w:bCs w:val="0"/>
          <w:color w:val="000000" w:themeColor="text1"/>
          <w14:textFill>
            <w14:solidFill>
              <w14:schemeClr w14:val="tx1"/>
            </w14:solidFill>
          </w14:textFill>
        </w:rPr>
        <w:t>6</w:t>
      </w:r>
      <w:r>
        <w:rPr>
          <w:rStyle w:val="41"/>
          <w:rFonts w:hint="eastAsia" w:ascii="黑体" w:hAnsi="黑体" w:eastAsia="黑体" w:cs="黑体"/>
          <w:b/>
          <w:bCs w:val="0"/>
          <w:color w:val="000000" w:themeColor="text1"/>
          <w:lang w:val="en-US" w:eastAsia="zh-CN"/>
          <w14:textFill>
            <w14:solidFill>
              <w14:schemeClr w14:val="tx1"/>
            </w14:solidFill>
          </w14:textFill>
        </w:rPr>
        <w:t>.5质量保证体系建设</w:t>
      </w:r>
    </w:p>
    <w:p w14:paraId="3B5928F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我校严格依据</w:t>
      </w:r>
      <w:r>
        <w:rPr>
          <w:rFonts w:hint="eastAsia" w:ascii="宋体" w:hAnsi="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杭锦后旗职业教育中心制度汇编</w:t>
      </w:r>
      <w:r>
        <w:rPr>
          <w:rFonts w:hint="eastAsia" w:ascii="宋体" w:hAnsi="宋体" w:cs="宋体"/>
          <w:color w:val="000000" w:themeColor="text1"/>
          <w:sz w:val="24"/>
          <w:szCs w:val="24"/>
          <w:lang w:val="en-US"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扎实推进师德师风建设与教师队伍规范化管理。在日常管理中，精准落实考勤等制度，通过教务处、实训处、督导室三方协同联动，强化课堂教学常规监管；组织全体教师签订拒绝有偿家教、规范网络行为等承诺书，明确师德红线，构建起全方位的教师管理体系。学校领导班子坚持深入教育教学一线，实施全流程质量管理，定期召开班子会议研判阶段性工作，及时总结经验、完善制度、优化方法，为教育教学质量的稳定提升与持续向好筑牢根基。</w:t>
      </w:r>
    </w:p>
    <w:p w14:paraId="3582038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开展教学诊断与改进、构建完善的质量保证体系，是推动中等职业教育高质量发展的关键举措。我校深度钻研教学诊改相关政策、理论与方法，结合自身发展实际，精准锚定发展目标、细化质量标准、搭建支撑平台，持续强化内部质量保障能力。以提升人才培养质量为核心，严格遵循“需求导向、自我保证、多元诊断、重在改进”工作方针，切实履行办学主体责任，建立起集自我规划、自我约束、自我评价、自我改进、自我发展于一体的常态化、周期性、可持续诊改机制。通过这一机制，推动全员、全过程、全方位质量保证体系落地见效，有效促进办学条件改善、管理流程规范、教学改革深化，实现办学水平与人才培养质量的同步提升。同时，主动抢抓区域产业发展机遇，精准对接市场需求优化人才培养模式；聚焦拔尖学生培育，秉持“以赛促教、以赛促学、以赛促创、赛教一体”理念，构建校、市、自治区、国家四级技能竞赛体系，达成“赛训融合，术业精进”的育人目标。</w:t>
      </w:r>
    </w:p>
    <w:p w14:paraId="6BFCE9EF">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我校坚守“按市场定专业、瞄岗位设课程、强实践提技能、抓课改促高考”的办学思路，锚定“培育高技能人才、建设师生幸福家园、争创全国</w:t>
      </w:r>
      <w:r>
        <w:rPr>
          <w:rFonts w:hint="eastAsia" w:ascii="宋体" w:hAnsi="宋体" w:cs="宋体"/>
          <w:color w:val="000000" w:themeColor="text1"/>
          <w:sz w:val="24"/>
          <w:szCs w:val="24"/>
          <w:lang w:val="en-US" w:eastAsia="zh-CN"/>
          <w14:textFill>
            <w14:solidFill>
              <w14:schemeClr w14:val="tx1"/>
            </w14:solidFill>
          </w14:textFill>
        </w:rPr>
        <w:t>一流的职业院校</w:t>
      </w:r>
      <w:r>
        <w:rPr>
          <w:rFonts w:hint="eastAsia" w:ascii="宋体" w:hAnsi="宋体" w:eastAsia="宋体" w:cs="宋体"/>
          <w:color w:val="000000" w:themeColor="text1"/>
          <w:sz w:val="24"/>
          <w:szCs w:val="24"/>
          <w:lang w:val="en-US" w:eastAsia="zh-CN"/>
          <w14:textFill>
            <w14:solidFill>
              <w14:schemeClr w14:val="tx1"/>
            </w14:solidFill>
          </w14:textFill>
        </w:rPr>
        <w:t>”的办学愿景，在教育教学改革中实现多重突破：评价方式则从传统单一模式转向全面信息化、数字化、多元化评价。依托《内部质量保证体系诊断与改进实施方案》，我校推动诊改工作与日常教学管理深度融合，统筹推进学校、专业、课程、教师、学生五个层面的诊改任务落地；持续更新完善内部质量保证体系诊改信息平台，按时对外发布质量年度报告，主动接受社会监督，不断提升学校社会美誉度。</w:t>
      </w:r>
    </w:p>
    <w:p w14:paraId="41923F33">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在旗委、政府的大力支持下，我校依托校、企、研多方合作平台，紧扣区域产业链发展趋势与岗位群需求变化，围绕人才培养质量、服务平台建设、双师队伍建设、办学成果输出等核心指标，构建科学完善的人才培养产出绩效评价体系。精准定位优质专业校本人才培养目标与规格，聚焦专业建设中的理念更新、标准完善、模式创新、资源整合、课程优化、教材研发等关键环节，紧跟产业动态实时调整评价内容，以高效课堂建设为抓手推进常态化教学诊改。</w:t>
      </w:r>
    </w:p>
    <w:p w14:paraId="06A7002C">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440" w:lineRule="exact"/>
        <w:ind w:left="0" w:right="0" w:firstLine="480" w:firstLineChars="200"/>
        <w:jc w:val="both"/>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我校始终坚守“立德树人”根本任务，聚焦德技并修、全面发展的中职生培养目标，持续完善学校制度，建立常态化自主质量保障机制。通过推行“校领导带班+德育值班+教学值班”</w:t>
      </w:r>
      <w:r>
        <w:rPr>
          <w:rFonts w:hint="eastAsia" w:ascii="宋体" w:hAnsi="宋体" w:cs="宋体"/>
          <w:color w:val="000000" w:themeColor="text1"/>
          <w:sz w:val="24"/>
          <w:szCs w:val="24"/>
          <w:lang w:val="en-US" w:eastAsia="zh-CN"/>
          <w14:textFill>
            <w14:solidFill>
              <w14:schemeClr w14:val="tx1"/>
            </w14:solidFill>
          </w14:textFill>
        </w:rPr>
        <w:t>的</w:t>
      </w:r>
      <w:r>
        <w:rPr>
          <w:rFonts w:hint="eastAsia" w:ascii="宋体" w:hAnsi="宋体" w:eastAsia="宋体" w:cs="宋体"/>
          <w:color w:val="000000" w:themeColor="text1"/>
          <w:sz w:val="24"/>
          <w:szCs w:val="24"/>
          <w:lang w:val="en-US" w:eastAsia="zh-CN"/>
          <w14:textFill>
            <w14:solidFill>
              <w14:schemeClr w14:val="tx1"/>
            </w14:solidFill>
          </w14:textFill>
        </w:rPr>
        <w:t>每日排查制度，结合校园监控系统开展课堂教学动态督查，实现课堂教学与实习实训状态数据的实时采集、监测、分析与管理，推动学校治理过程标准化、信息化、可控化。同时，构建内外结合的多元评价体系，将校内教学质量保障与行业、企业外部评价有机融合，实现评价机制多元化；优化评价、反馈与改进闭环，吸纳学校、行业、企业及社会机构共同参与评价，实现评价主体多元化。定期开展人才培养质量与毕业生发展质量问卷调查，以定量数据为支撑开展精准诊断，全方位提升学生满意度、办学服务贡献度与社会美誉度。</w:t>
      </w:r>
    </w:p>
    <w:p w14:paraId="0ADC3180">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41"/>
          <w:rFonts w:hint="eastAsia" w:ascii="黑体" w:hAnsi="黑体" w:eastAsia="黑体" w:cs="黑体"/>
          <w:b/>
          <w:bCs w:val="0"/>
          <w:color w:val="000000" w:themeColor="text1"/>
          <w:lang w:val="en-US" w:eastAsia="zh-CN"/>
          <w14:textFill>
            <w14:solidFill>
              <w14:schemeClr w14:val="tx1"/>
            </w14:solidFill>
          </w14:textFill>
        </w:rPr>
      </w:pPr>
      <w:r>
        <w:rPr>
          <w:rStyle w:val="41"/>
          <w:rFonts w:hint="eastAsia" w:ascii="黑体" w:hAnsi="黑体" w:eastAsia="黑体" w:cs="黑体"/>
          <w:b/>
          <w:bCs w:val="0"/>
          <w:color w:val="000000" w:themeColor="text1"/>
          <w14:textFill>
            <w14:solidFill>
              <w14:schemeClr w14:val="tx1"/>
            </w14:solidFill>
          </w14:textFill>
        </w:rPr>
        <w:t>6.</w:t>
      </w:r>
      <w:r>
        <w:rPr>
          <w:rStyle w:val="41"/>
          <w:rFonts w:hint="eastAsia" w:ascii="黑体" w:hAnsi="黑体" w:eastAsia="黑体" w:cs="黑体"/>
          <w:b/>
          <w:bCs w:val="0"/>
          <w:color w:val="000000" w:themeColor="text1"/>
          <w:lang w:val="en-US" w:eastAsia="zh-CN"/>
          <w14:textFill>
            <w14:solidFill>
              <w14:schemeClr w14:val="tx1"/>
            </w14:solidFill>
          </w14:textFill>
        </w:rPr>
        <w:t>6师资队伍建设</w:t>
      </w:r>
    </w:p>
    <w:p w14:paraId="56252389">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分层培训体系完善</w:t>
      </w: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深入实施教师专业能力提升计划，构建“新教师—骨干教师—专业带头人”分层培养体系。新教师“站稳讲台”培训项目助力新入职教师快速适应教学环境；骨干教师通过国家级、省级培训及校际交流活动，充分发挥“引领作用”；专业带头人借助“远航工程”等培训活动，拓宽视野，提升专业素养。本学期共选派16余名专任教师参加国家级培训，全校集中培训采用线上线下结合方式，组织校内培训</w:t>
      </w:r>
      <w:r>
        <w:rPr>
          <w:rFonts w:hint="eastAsia" w:ascii="宋体" w:hAnsi="宋体" w:eastAsia="宋体" w:cs="宋体"/>
          <w:color w:val="000000" w:themeColor="text1"/>
          <w:sz w:val="24"/>
          <w:szCs w:val="24"/>
          <w:lang w:val="en-US" w:eastAsia="zh-CN"/>
          <w14:textFill>
            <w14:solidFill>
              <w14:schemeClr w14:val="tx1"/>
            </w14:solidFill>
          </w14:textFill>
        </w:rPr>
        <w:t>3次</w:t>
      </w:r>
      <w:r>
        <w:rPr>
          <w:rFonts w:hint="eastAsia" w:ascii="宋体" w:hAnsi="宋体" w:eastAsia="宋体" w:cs="宋体"/>
          <w:color w:val="000000" w:themeColor="text1"/>
          <w:sz w:val="24"/>
          <w:szCs w:val="24"/>
          <w14:textFill>
            <w14:solidFill>
              <w14:schemeClr w14:val="tx1"/>
            </w14:solidFill>
          </w14:textFill>
        </w:rPr>
        <w:t>，丰富教学资源，提升培训效果。</w:t>
      </w:r>
    </w:p>
    <w:p w14:paraId="585EAE88">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青蓝工程成效显著</w:t>
      </w: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开展“青蓝工程”，结对帮扶</w:t>
      </w:r>
      <w:r>
        <w:rPr>
          <w:rFonts w:hint="eastAsia" w:ascii="宋体" w:hAnsi="宋体" w:eastAsia="宋体" w:cs="宋体"/>
          <w:color w:val="000000" w:themeColor="text1"/>
          <w:sz w:val="24"/>
          <w:szCs w:val="24"/>
          <w:lang w:eastAsia="zh-CN"/>
          <w14:textFill>
            <w14:solidFill>
              <w14:schemeClr w14:val="tx1"/>
            </w14:solidFill>
          </w14:textFill>
        </w:rPr>
        <w:t>教龄</w:t>
      </w:r>
      <w:r>
        <w:rPr>
          <w:rFonts w:hint="eastAsia" w:ascii="宋体" w:hAnsi="宋体" w:eastAsia="宋体" w:cs="宋体"/>
          <w:color w:val="000000" w:themeColor="text1"/>
          <w:sz w:val="24"/>
          <w:szCs w:val="24"/>
          <w14:textFill>
            <w14:solidFill>
              <w14:schemeClr w14:val="tx1"/>
            </w14:solidFill>
          </w14:textFill>
        </w:rPr>
        <w:t>三年内</w:t>
      </w:r>
      <w:r>
        <w:rPr>
          <w:rFonts w:hint="eastAsia" w:ascii="宋体" w:hAnsi="宋体" w:eastAsia="宋体" w:cs="宋体"/>
          <w:color w:val="000000" w:themeColor="text1"/>
          <w:sz w:val="24"/>
          <w:szCs w:val="24"/>
          <w:lang w:eastAsia="zh-CN"/>
          <w14:textFill>
            <w14:solidFill>
              <w14:schemeClr w14:val="tx1"/>
            </w14:solidFill>
          </w14:textFill>
        </w:rPr>
        <w:t>的</w:t>
      </w:r>
      <w:r>
        <w:rPr>
          <w:rFonts w:hint="eastAsia" w:ascii="宋体" w:hAnsi="宋体" w:eastAsia="宋体" w:cs="宋体"/>
          <w:color w:val="000000" w:themeColor="text1"/>
          <w:sz w:val="24"/>
          <w:szCs w:val="24"/>
          <w14:textFill>
            <w14:solidFill>
              <w14:schemeClr w14:val="tx1"/>
            </w14:solidFill>
          </w14:textFill>
        </w:rPr>
        <w:t>31名青年教师，2025年入职10人。建立青年教师双导师制，组织新入职教师过关课比赛，每周监测推门听课，实施“双导师（分校导师+专业导师）”创新举措。通过定期的教学研讨、经验分享等活动，为青年教师成长搭建平台，提供全方位指导支持</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教学能力显著提升。</w:t>
      </w:r>
    </w:p>
    <w:p w14:paraId="5FC8E660">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“双师型”教师</w:t>
      </w:r>
      <w:r>
        <w:rPr>
          <w:rFonts w:hint="eastAsia" w:ascii="宋体" w:hAnsi="宋体" w:eastAsia="宋体" w:cs="宋体"/>
          <w:b/>
          <w:bCs/>
          <w:color w:val="000000" w:themeColor="text1"/>
          <w:sz w:val="24"/>
          <w:szCs w:val="24"/>
          <w14:textFill>
            <w14:solidFill>
              <w14:schemeClr w14:val="tx1"/>
            </w14:solidFill>
          </w14:textFill>
        </w:rPr>
        <w:t>培养加强</w:t>
      </w: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推进二轮“双优”工作，</w:t>
      </w:r>
      <w:r>
        <w:rPr>
          <w:rFonts w:hint="eastAsia" w:ascii="宋体" w:hAnsi="宋体" w:eastAsia="宋体" w:cs="宋体"/>
          <w:color w:val="000000" w:themeColor="text1"/>
          <w:sz w:val="24"/>
          <w:szCs w:val="24"/>
          <w14:textFill>
            <w14:solidFill>
              <w14:schemeClr w14:val="tx1"/>
            </w14:solidFill>
          </w14:textFill>
        </w:rPr>
        <w:t>加大“双师型”教师培养力度，</w:t>
      </w:r>
      <w:r>
        <w:rPr>
          <w:rFonts w:hint="eastAsia" w:ascii="宋体" w:hAnsi="宋体" w:eastAsia="宋体" w:cs="宋体"/>
          <w:color w:val="000000" w:themeColor="text1"/>
          <w:sz w:val="24"/>
          <w:szCs w:val="24"/>
          <w:lang w:val="en-US" w:eastAsia="zh-CN"/>
          <w14:textFill>
            <w14:solidFill>
              <w14:schemeClr w14:val="tx1"/>
            </w14:solidFill>
          </w14:textFill>
        </w:rPr>
        <w:t>建设高水平“双师型”队伍，</w:t>
      </w:r>
      <w:r>
        <w:rPr>
          <w:rFonts w:hint="eastAsia" w:ascii="宋体" w:hAnsi="宋体" w:eastAsia="宋体" w:cs="宋体"/>
          <w:color w:val="000000" w:themeColor="text1"/>
          <w:sz w:val="24"/>
          <w:szCs w:val="24"/>
          <w14:textFill>
            <w14:solidFill>
              <w14:schemeClr w14:val="tx1"/>
            </w14:solidFill>
          </w14:textFill>
        </w:rPr>
        <w:t>鼓励教师赴企业实践锻炼，提升实践教学能力。</w:t>
      </w:r>
      <w:r>
        <w:rPr>
          <w:rFonts w:hint="eastAsia" w:ascii="宋体" w:hAnsi="宋体" w:eastAsia="宋体" w:cs="宋体"/>
          <w:color w:val="000000" w:themeColor="text1"/>
          <w:sz w:val="24"/>
          <w:szCs w:val="24"/>
          <w:lang w:val="en-US" w:eastAsia="zh-CN"/>
          <w14:textFill>
            <w14:solidFill>
              <w14:schemeClr w14:val="tx1"/>
            </w14:solidFill>
          </w14:textFill>
        </w:rPr>
        <w:t>派</w:t>
      </w:r>
      <w:r>
        <w:rPr>
          <w:rFonts w:hint="eastAsia" w:ascii="宋体" w:hAnsi="宋体" w:eastAsia="宋体" w:cs="宋体"/>
          <w:color w:val="000000" w:themeColor="text1"/>
          <w:sz w:val="24"/>
          <w:szCs w:val="24"/>
          <w14:textFill>
            <w14:solidFill>
              <w14:schemeClr w14:val="tx1"/>
            </w14:solidFill>
          </w14:textFill>
        </w:rPr>
        <w:t>教师赴企业实践，参与企业项目研发、技术攻关等活动，将企业实际案例引入课堂教学，增强了教学的针对性和实效性。同时，制定专项培养计划，加强青年教师教学能力和实践指导能力培养，优化“双师型”教师结构</w:t>
      </w:r>
      <w:r>
        <w:rPr>
          <w:rFonts w:hint="eastAsia" w:ascii="宋体" w:hAnsi="宋体" w:eastAsia="宋体" w:cs="宋体"/>
          <w:color w:val="000000" w:themeColor="text1"/>
          <w:sz w:val="24"/>
          <w:szCs w:val="24"/>
          <w:lang w:eastAsia="zh-CN"/>
          <w14:textFill>
            <w14:solidFill>
              <w14:schemeClr w14:val="tx1"/>
            </w14:solidFill>
          </w14:textFill>
        </w:rPr>
        <w:t>。</w:t>
      </w:r>
    </w:p>
    <w:p w14:paraId="379FA2D1">
      <w:pPr>
        <w:keepNext w:val="0"/>
        <w:keepLines w:val="0"/>
        <w:pageBreakBefore w:val="0"/>
        <w:widowControl/>
        <w:shd w:val="clear" w:color="auto" w:fill="FFFFFF"/>
        <w:kinsoku/>
        <w:wordWrap/>
        <w:overflowPunct/>
        <w:topLinePunct w:val="0"/>
        <w:autoSpaceDE/>
        <w:autoSpaceDN/>
        <w:bidi w:val="0"/>
        <w:adjustRightInd/>
        <w:snapToGrid/>
        <w:spacing w:line="440" w:lineRule="exact"/>
        <w:ind w:firstLine="562" w:firstLineChars="200"/>
        <w:jc w:val="both"/>
        <w:textAlignment w:val="auto"/>
        <w:rPr>
          <w:rStyle w:val="41"/>
          <w:rFonts w:hint="eastAsia" w:ascii="黑体" w:hAnsi="黑体" w:eastAsia="黑体" w:cs="黑体"/>
          <w:b/>
          <w:bCs w:val="0"/>
          <w:color w:val="000000" w:themeColor="text1"/>
          <w:lang w:val="en-US" w:eastAsia="zh-CN"/>
          <w14:textFill>
            <w14:solidFill>
              <w14:schemeClr w14:val="tx1"/>
            </w14:solidFill>
          </w14:textFill>
        </w:rPr>
      </w:pPr>
      <w:r>
        <w:rPr>
          <w:rStyle w:val="41"/>
          <w:rFonts w:hint="eastAsia" w:ascii="黑体" w:hAnsi="黑体" w:eastAsia="黑体" w:cs="黑体"/>
          <w:b/>
          <w:bCs w:val="0"/>
          <w:color w:val="000000" w:themeColor="text1"/>
          <w14:textFill>
            <w14:solidFill>
              <w14:schemeClr w14:val="tx1"/>
            </w14:solidFill>
          </w14:textFill>
        </w:rPr>
        <w:t>6.</w:t>
      </w:r>
      <w:r>
        <w:rPr>
          <w:rStyle w:val="41"/>
          <w:rFonts w:hint="eastAsia" w:ascii="黑体" w:hAnsi="黑体" w:eastAsia="黑体" w:cs="黑体"/>
          <w:b/>
          <w:bCs w:val="0"/>
          <w:color w:val="000000" w:themeColor="text1"/>
          <w:lang w:val="en-US" w:eastAsia="zh-CN"/>
          <w14:textFill>
            <w14:solidFill>
              <w14:schemeClr w14:val="tx1"/>
            </w14:solidFill>
          </w14:textFill>
        </w:rPr>
        <w:t>7经费投入及其他发展保障方面特色工作</w:t>
      </w:r>
    </w:p>
    <w:p w14:paraId="27348A4D">
      <w:pPr>
        <w:keepNext w:val="0"/>
        <w:keepLines w:val="0"/>
        <w:pageBreakBefore w:val="0"/>
        <w:widowControl/>
        <w:numPr>
          <w:ilvl w:val="0"/>
          <w:numId w:val="0"/>
        </w:numPr>
        <w:kinsoku/>
        <w:wordWrap/>
        <w:overflowPunct/>
        <w:topLinePunct w:val="0"/>
        <w:autoSpaceDE/>
        <w:autoSpaceDN/>
        <w:bidi w:val="0"/>
        <w:adjustRightInd w:val="0"/>
        <w:snapToGrid w:val="0"/>
        <w:spacing w:line="440" w:lineRule="exact"/>
        <w:ind w:firstLine="480" w:firstLineChars="200"/>
        <w:jc w:val="both"/>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学校本年度，我校秉持“抓机遇、快发展”的核心理念，紧扣区域经济社会发展需求与群众对优质职业教育的期盼，以精准化经费投入为引擎，以项目化建设为抓手，全面夯实办学硬件基础，完善发展保障体系，推动学校办学条件与育人质量双提升，特色工作成效显著。</w:t>
      </w:r>
    </w:p>
    <w:p w14:paraId="533DC9C2">
      <w:pPr>
        <w:keepNext w:val="0"/>
        <w:keepLines w:val="0"/>
        <w:pageBreakBefore w:val="0"/>
        <w:widowControl/>
        <w:numPr>
          <w:ilvl w:val="0"/>
          <w:numId w:val="0"/>
        </w:numPr>
        <w:kinsoku/>
        <w:wordWrap/>
        <w:overflowPunct/>
        <w:topLinePunct w:val="0"/>
        <w:autoSpaceDE/>
        <w:autoSpaceDN/>
        <w:bidi w:val="0"/>
        <w:adjustRightInd w:val="0"/>
        <w:snapToGrid w:val="0"/>
        <w:spacing w:line="440" w:lineRule="exact"/>
        <w:ind w:firstLine="482" w:firstLineChars="200"/>
        <w:jc w:val="both"/>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靶向硬件升级，精准投入夯实办学根基。</w:t>
      </w:r>
      <w:r>
        <w:rPr>
          <w:rFonts w:hint="eastAsia" w:ascii="宋体" w:hAnsi="宋体" w:eastAsia="宋体" w:cs="宋体"/>
          <w:color w:val="000000" w:themeColor="text1"/>
          <w:kern w:val="2"/>
          <w:sz w:val="24"/>
          <w:szCs w:val="24"/>
          <w:lang w:val="en-US" w:eastAsia="zh-CN" w:bidi="ar-SA"/>
          <w14:textFill>
            <w14:solidFill>
              <w14:schemeClr w14:val="tx1"/>
            </w14:solidFill>
          </w14:textFill>
        </w:rPr>
        <w:t>围绕教学实训、师生生活、校园环境等核心领域，我校统筹资金实施系列改造提升工程，累计完成多项重点建设项目：投入90万元完成教育实践基地食堂改造，投入196.8万元推进高标准大学生食堂建设，全面优化师生就餐环境；列支50万元新建北大门并改扩建出口，畅通校园通行脉络；投入7万元完成笃行楼周边400平方米绿化工程，打造生态雅致的校园景观。同时，聚焦职业教育实训教学核心需求，投入100万元购置实习实训设备及耗材，投入14万元采购300套大学新生专用桌椅，切实保障教学实训活动高效开展，为人才培养提供坚实硬件支撑。</w:t>
      </w:r>
    </w:p>
    <w:p w14:paraId="77507C29">
      <w:pPr>
        <w:keepNext w:val="0"/>
        <w:keepLines w:val="0"/>
        <w:pageBreakBefore w:val="0"/>
        <w:widowControl/>
        <w:numPr>
          <w:ilvl w:val="0"/>
          <w:numId w:val="0"/>
        </w:numPr>
        <w:kinsoku/>
        <w:wordWrap/>
        <w:overflowPunct/>
        <w:topLinePunct w:val="0"/>
        <w:autoSpaceDE/>
        <w:autoSpaceDN/>
        <w:bidi w:val="0"/>
        <w:adjustRightInd w:val="0"/>
        <w:snapToGrid w:val="0"/>
        <w:spacing w:line="440" w:lineRule="exact"/>
        <w:ind w:firstLine="482" w:firstLineChars="200"/>
        <w:jc w:val="both"/>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锚定高质量发展，积极谋划储备重点项目。</w:t>
      </w:r>
      <w:r>
        <w:rPr>
          <w:rFonts w:hint="eastAsia" w:ascii="宋体" w:hAnsi="宋体" w:eastAsia="宋体" w:cs="宋体"/>
          <w:color w:val="000000" w:themeColor="text1"/>
          <w:kern w:val="2"/>
          <w:sz w:val="24"/>
          <w:szCs w:val="24"/>
          <w:lang w:val="en-US" w:eastAsia="zh-CN" w:bidi="ar-SA"/>
          <w14:textFill>
            <w14:solidFill>
              <w14:schemeClr w14:val="tx1"/>
            </w14:solidFill>
          </w14:textFill>
        </w:rPr>
        <w:t>我校严格遵循《关于推动现代职业教育高质量发展的意见》《中华人民共和国职业教育法》及全旗“十四五”规划要求，紧扣校企合作、产教融合、社区教育等发展重点，积极申报职业院校师资队伍建设、数字资源建设、师生技能大赛等项目，为学校内涵发展注入活力。同时，着眼长远发展布局，科学谋划2026年储备项目，构建“梯次推进、重点突破”的项目建设格局。</w:t>
      </w:r>
    </w:p>
    <w:p w14:paraId="63363CBE">
      <w:pPr>
        <w:keepNext w:val="0"/>
        <w:keepLines w:val="0"/>
        <w:pageBreakBefore w:val="0"/>
        <w:widowControl/>
        <w:numPr>
          <w:ilvl w:val="0"/>
          <w:numId w:val="0"/>
        </w:numPr>
        <w:kinsoku/>
        <w:wordWrap/>
        <w:overflowPunct/>
        <w:topLinePunct w:val="0"/>
        <w:autoSpaceDE/>
        <w:autoSpaceDN/>
        <w:bidi w:val="0"/>
        <w:adjustRightInd w:val="0"/>
        <w:snapToGrid w:val="0"/>
        <w:spacing w:line="440" w:lineRule="exact"/>
        <w:ind w:firstLine="482" w:firstLineChars="200"/>
        <w:jc w:val="both"/>
        <w:textAlignment w:val="auto"/>
        <w:rPr>
          <w:rFonts w:hint="eastAsia" w:ascii="宋体" w:hAnsi="宋体" w:eastAsia="宋体" w:cs="宋体"/>
          <w:color w:val="auto"/>
          <w:kern w:val="2"/>
          <w:sz w:val="24"/>
          <w:szCs w:val="24"/>
          <w:lang w:val="en-US" w:eastAsia="zh-CN" w:bidi="ar-SA"/>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强化政策支撑，足额经费保障稳健运行。</w:t>
      </w:r>
      <w:r>
        <w:rPr>
          <w:rFonts w:hint="eastAsia" w:ascii="宋体" w:hAnsi="宋体" w:eastAsia="宋体" w:cs="宋体"/>
          <w:color w:val="000000" w:themeColor="text1"/>
          <w:kern w:val="2"/>
          <w:sz w:val="24"/>
          <w:szCs w:val="24"/>
          <w:lang w:val="en-US" w:eastAsia="zh-CN" w:bidi="ar-SA"/>
          <w14:textFill>
            <w14:solidFill>
              <w14:schemeClr w14:val="tx1"/>
            </w14:solidFill>
          </w14:textFill>
        </w:rPr>
        <w:t>杭锦后旗委、政府及教育主管部门高度重视我校发展，严格落实教育经费保障机制，不仅按规定足额拨付各项经费，且经费额度实现逐年稳步增长。</w:t>
      </w:r>
      <w:r>
        <w:rPr>
          <w:rFonts w:hint="eastAsia" w:ascii="宋体" w:hAnsi="宋体" w:eastAsia="宋体" w:cs="宋体"/>
          <w:color w:val="auto"/>
          <w:kern w:val="2"/>
          <w:sz w:val="24"/>
          <w:szCs w:val="24"/>
          <w:lang w:val="en-US" w:eastAsia="zh-CN" w:bidi="ar-SA"/>
        </w:rPr>
        <w:t>2025年，我校累计获得财政拨款8367.99万元，其中两免经费475.79万元、补助学金373.7万元、上级专项资金2702.5万元，人员保障经费4816万元，充足的经费为学校日常运转、项目建设、设备购置、师资培训等工作提供了可靠保障。</w:t>
      </w:r>
    </w:p>
    <w:p w14:paraId="122257B4">
      <w:pPr>
        <w:keepNext w:val="0"/>
        <w:keepLines w:val="0"/>
        <w:pageBreakBefore w:val="0"/>
        <w:widowControl/>
        <w:numPr>
          <w:ilvl w:val="0"/>
          <w:numId w:val="0"/>
        </w:numPr>
        <w:kinsoku/>
        <w:wordWrap/>
        <w:overflowPunct/>
        <w:topLinePunct w:val="0"/>
        <w:autoSpaceDE/>
        <w:autoSpaceDN/>
        <w:bidi w:val="0"/>
        <w:adjustRightInd w:val="0"/>
        <w:snapToGrid w:val="0"/>
        <w:spacing w:line="440" w:lineRule="exact"/>
        <w:ind w:firstLine="482" w:firstLineChars="200"/>
        <w:jc w:val="both"/>
        <w:textAlignment w:val="auto"/>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健全管理制度，规范管理提升经费效益。</w:t>
      </w:r>
      <w:r>
        <w:rPr>
          <w:rFonts w:hint="eastAsia" w:ascii="宋体" w:hAnsi="宋体" w:eastAsia="宋体" w:cs="宋体"/>
          <w:color w:val="000000" w:themeColor="text1"/>
          <w:kern w:val="2"/>
          <w:sz w:val="24"/>
          <w:szCs w:val="24"/>
          <w:lang w:val="en-US" w:eastAsia="zh-CN" w:bidi="ar-SA"/>
          <w14:textFill>
            <w14:solidFill>
              <w14:schemeClr w14:val="tx1"/>
            </w14:solidFill>
          </w14:textFill>
        </w:rPr>
        <w:t>我校坚持“厉行节约、精打细算”的原则，构建精细化、规范化的校产与经费管理体系。一方面，健全校产管理档案，对固定资产及易耗品实行电子、纸质双档案管理，严格执行“以旧换新”领用制度，定期开展库房盘点，确保账物相符；另一方面，严格规范采购流程，设施设备、办公用品采购均按上级要求执行，做到资料留存齐全、程序合规透明。同时，全面落实经费预算管理制度，强化预算执行与财务管理，实现经费开支的合理规划与高效利用，确保每一笔资金都用在“刀刃上”，为学校持续健康发展筑牢制度保障。</w:t>
      </w:r>
    </w:p>
    <w:p w14:paraId="5CC2C1FF">
      <w:pPr>
        <w:keepNext w:val="0"/>
        <w:keepLines w:val="0"/>
        <w:pageBreakBefore w:val="0"/>
        <w:widowControl/>
        <w:numPr>
          <w:ilvl w:val="0"/>
          <w:numId w:val="0"/>
        </w:numPr>
        <w:kinsoku/>
        <w:wordWrap/>
        <w:overflowPunct/>
        <w:topLinePunct w:val="0"/>
        <w:autoSpaceDE/>
        <w:autoSpaceDN/>
        <w:bidi w:val="0"/>
        <w:adjustRightInd w:val="0"/>
        <w:snapToGrid w:val="0"/>
        <w:spacing w:before="157" w:beforeLines="50" w:after="157" w:afterLines="50" w:line="440" w:lineRule="exact"/>
        <w:ind w:leftChars="0" w:firstLine="602" w:firstLineChars="200"/>
        <w:jc w:val="both"/>
        <w:textAlignment w:val="auto"/>
        <w:rPr>
          <w:rStyle w:val="41"/>
          <w:rFonts w:hint="default"/>
          <w:b/>
          <w:bCs w:val="0"/>
          <w:color w:val="000000" w:themeColor="text1"/>
          <w:sz w:val="30"/>
          <w:szCs w:val="30"/>
          <w:lang w:val="en-US" w:eastAsia="zh-CN"/>
          <w14:textFill>
            <w14:solidFill>
              <w14:schemeClr w14:val="tx1"/>
            </w14:solidFill>
          </w14:textFill>
        </w:rPr>
      </w:pPr>
      <w:r>
        <w:rPr>
          <w:rStyle w:val="41"/>
          <w:rFonts w:hint="eastAsia"/>
          <w:b/>
          <w:bCs w:val="0"/>
          <w:color w:val="000000" w:themeColor="text1"/>
          <w:sz w:val="30"/>
          <w:szCs w:val="30"/>
          <w:lang w:val="en-US" w:eastAsia="zh-CN"/>
          <w14:textFill>
            <w14:solidFill>
              <w14:schemeClr w14:val="tx1"/>
            </w14:solidFill>
          </w14:textFill>
        </w:rPr>
        <w:t>7.</w:t>
      </w:r>
      <w:r>
        <w:rPr>
          <w:rStyle w:val="41"/>
          <w:rFonts w:hint="default"/>
          <w:b/>
          <w:bCs w:val="0"/>
          <w:color w:val="000000" w:themeColor="text1"/>
          <w:sz w:val="30"/>
          <w:szCs w:val="30"/>
          <w:lang w:val="en-US" w:eastAsia="zh-CN"/>
          <w14:textFill>
            <w14:solidFill>
              <w14:schemeClr w14:val="tx1"/>
            </w14:solidFill>
          </w14:textFill>
        </w:rPr>
        <w:t>面临挑战</w:t>
      </w:r>
    </w:p>
    <w:p w14:paraId="244A1E4A">
      <w:pPr>
        <w:keepNext w:val="0"/>
        <w:keepLines w:val="0"/>
        <w:pageBreakBefore w:val="0"/>
        <w:widowControl w:val="0"/>
        <w:kinsoku/>
        <w:wordWrap/>
        <w:overflowPunct/>
        <w:topLinePunct w:val="0"/>
        <w:autoSpaceDE/>
        <w:autoSpaceDN/>
        <w:bidi w:val="0"/>
        <w:adjustRightInd/>
        <w:snapToGrid/>
        <w:spacing w:line="440" w:lineRule="exact"/>
        <w:ind w:firstLine="482" w:firstLineChars="200"/>
        <w:textAlignment w:val="auto"/>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挑战1：</w:t>
      </w:r>
      <w:r>
        <w:rPr>
          <w:rFonts w:hint="eastAsia" w:ascii="宋体" w:hAnsi="宋体" w:eastAsia="宋体" w:cs="宋体"/>
          <w:color w:val="000000" w:themeColor="text1"/>
          <w:sz w:val="24"/>
          <w:szCs w:val="24"/>
          <w:highlight w:val="none"/>
          <w:lang w:val="en-US" w:eastAsia="zh-CN"/>
          <w14:textFill>
            <w14:solidFill>
              <w14:schemeClr w14:val="tx1"/>
            </w14:solidFill>
          </w14:textFill>
        </w:rPr>
        <w:t>职普融通课程设置，主要涉及与普高课程互选，学分互认、学籍互通的难题和挑战，打通与职业本科的上升通道。</w:t>
      </w:r>
    </w:p>
    <w:p w14:paraId="2B212EA8">
      <w:pPr>
        <w:pStyle w:val="3"/>
        <w:keepNext w:val="0"/>
        <w:keepLines w:val="0"/>
        <w:pageBreakBefore w:val="0"/>
        <w:widowControl w:val="0"/>
        <w:kinsoku/>
        <w:wordWrap/>
        <w:overflowPunct/>
        <w:topLinePunct w:val="0"/>
        <w:autoSpaceDE/>
        <w:autoSpaceDN/>
        <w:bidi w:val="0"/>
        <w:adjustRightInd/>
        <w:snapToGrid/>
        <w:spacing w:after="0" w:line="440" w:lineRule="exact"/>
        <w:ind w:firstLine="482" w:firstLineChars="200"/>
        <w:textAlignment w:val="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挑战2：产教融合深度不足与协同育人机制不畅。</w:t>
      </w:r>
      <w:r>
        <w:rPr>
          <w:rFonts w:hint="eastAsia" w:ascii="宋体" w:hAnsi="宋体" w:eastAsia="宋体" w:cs="宋体"/>
          <w:b w:val="0"/>
          <w:bCs w:val="0"/>
          <w:color w:val="000000" w:themeColor="text1"/>
          <w:sz w:val="24"/>
          <w:szCs w:val="24"/>
          <w:lang w:val="en-US" w:eastAsia="zh-CN"/>
          <w14:textFill>
            <w14:solidFill>
              <w14:schemeClr w14:val="tx1"/>
            </w14:solidFill>
          </w14:textFill>
        </w:rPr>
        <w:t>当前校企合作仍多停留在实习基地供给、零星企业讲座层面，未能真正实现课程共建、师资共享、技术共研。企业参与人才培养的动力不足，课程内容与行业技术发展存在滞后。如何构建可持续、互惠共赢的产教融合机制，引入行业标准与真实项目进课堂，提升学生岗位适应能力，是学校深化育人模式改革的核心难点。</w:t>
      </w:r>
    </w:p>
    <w:p w14:paraId="147B8950">
      <w:pPr>
        <w:pStyle w:val="3"/>
        <w:keepNext w:val="0"/>
        <w:keepLines w:val="0"/>
        <w:pageBreakBefore w:val="0"/>
        <w:widowControl w:val="0"/>
        <w:kinsoku/>
        <w:wordWrap/>
        <w:overflowPunct/>
        <w:topLinePunct w:val="0"/>
        <w:autoSpaceDE/>
        <w:autoSpaceDN/>
        <w:bidi w:val="0"/>
        <w:adjustRightInd/>
        <w:snapToGrid/>
        <w:spacing w:after="0" w:line="440" w:lineRule="exact"/>
        <w:ind w:firstLine="482" w:firstLineChars="200"/>
        <w:textAlignment w:val="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挑战3：学生心理健康与生涯发展指导压力增大。</w:t>
      </w:r>
      <w:r>
        <w:rPr>
          <w:rFonts w:hint="eastAsia" w:ascii="宋体" w:hAnsi="宋体" w:eastAsia="宋体" w:cs="宋体"/>
          <w:b w:val="0"/>
          <w:bCs w:val="0"/>
          <w:color w:val="000000" w:themeColor="text1"/>
          <w:sz w:val="24"/>
          <w:szCs w:val="24"/>
          <w:lang w:val="en-US" w:eastAsia="zh-CN"/>
          <w14:textFill>
            <w14:solidFill>
              <w14:schemeClr w14:val="tx1"/>
            </w14:solidFill>
          </w14:textFill>
        </w:rPr>
        <w:t>中职学生处于成长关键期，面临学业压力、人际困惑及未来就业迷茫等多重心理挑战。学校心理健康支持体系尚不完善，专业师资与干预资源有限，生涯规划教育缺乏系统性。如何建立早期预防、及时干预的心理健康工作机制，并开展贯穿全程的个性化生涯指导，促进学生积极心态与长远发展，是德育与育人工作的紧迫任务。</w:t>
      </w:r>
    </w:p>
    <w:p w14:paraId="68098AE3">
      <w:pPr>
        <w:pStyle w:val="3"/>
        <w:keepNext w:val="0"/>
        <w:keepLines w:val="0"/>
        <w:pageBreakBefore w:val="0"/>
        <w:widowControl w:val="0"/>
        <w:kinsoku/>
        <w:wordWrap/>
        <w:overflowPunct/>
        <w:topLinePunct w:val="0"/>
        <w:autoSpaceDE/>
        <w:autoSpaceDN/>
        <w:bidi w:val="0"/>
        <w:adjustRightInd/>
        <w:snapToGrid/>
        <w:spacing w:after="0" w:line="440" w:lineRule="exact"/>
        <w:ind w:firstLine="482" w:firstLineChars="200"/>
        <w:textAlignment w:val="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挑战4：服务区域经济与乡村振兴的能力有待突破。</w:t>
      </w:r>
      <w:r>
        <w:rPr>
          <w:rFonts w:hint="eastAsia" w:ascii="宋体" w:hAnsi="宋体" w:eastAsia="宋体" w:cs="宋体"/>
          <w:b w:val="0"/>
          <w:bCs w:val="0"/>
          <w:color w:val="000000" w:themeColor="text1"/>
          <w:sz w:val="24"/>
          <w:szCs w:val="24"/>
          <w:lang w:val="en-US" w:eastAsia="zh-CN"/>
          <w14:textFill>
            <w14:solidFill>
              <w14:schemeClr w14:val="tx1"/>
            </w14:solidFill>
          </w14:textFill>
        </w:rPr>
        <w:t>学校专业设置、人才培养方向与地方产业升级、乡村振兴需求的对接精度仍需提升。毕业生本地就业率、对口就业率有待提高，社会培训与技术服务能力尚未充分发挥。如何主动对接区域发展重点，动态优化专业结构，增强职业教育对地方经济社会发展的支撑力和贡献度，是学校实现可持续发展的战略挑战。</w:t>
      </w:r>
    </w:p>
    <w:p w14:paraId="3EB7180F">
      <w:pPr>
        <w:pStyle w:val="3"/>
        <w:keepNext w:val="0"/>
        <w:keepLines w:val="0"/>
        <w:pageBreakBefore w:val="0"/>
        <w:widowControl w:val="0"/>
        <w:kinsoku/>
        <w:wordWrap/>
        <w:overflowPunct/>
        <w:topLinePunct w:val="0"/>
        <w:autoSpaceDE/>
        <w:autoSpaceDN/>
        <w:bidi w:val="0"/>
        <w:adjustRightInd/>
        <w:snapToGrid/>
        <w:spacing w:after="0" w:line="440" w:lineRule="exact"/>
        <w:ind w:firstLine="482" w:firstLineChars="200"/>
        <w:textAlignment w:val="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挑战5：“双师型”教师队伍质与量双重短板。</w:t>
      </w:r>
      <w:r>
        <w:rPr>
          <w:rFonts w:hint="eastAsia" w:ascii="宋体" w:hAnsi="宋体" w:eastAsia="宋体" w:cs="宋体"/>
          <w:b w:val="0"/>
          <w:bCs w:val="0"/>
          <w:color w:val="000000" w:themeColor="text1"/>
          <w:sz w:val="24"/>
          <w:szCs w:val="24"/>
          <w:lang w:val="en-US" w:eastAsia="zh-CN"/>
          <w14:textFill>
            <w14:solidFill>
              <w14:schemeClr w14:val="tx1"/>
            </w14:solidFill>
          </w14:textFill>
        </w:rPr>
        <w:t>真正具备理论教学与实践指导综合能力的“双师型”教师比例偏低，且部分教师企业实践经验更新不足。教师引进、培养与激励机制仍显单一，难以吸引高水平技术技能人才投身教学。如何构建教师赴企业实践常态化机制，拓宽行业人才引进渠道，激发教师发展内生动力，成为师资队伍建设的关键瓶颈。</w:t>
      </w:r>
    </w:p>
    <w:p w14:paraId="72964B88">
      <w:pPr>
        <w:pStyle w:val="3"/>
        <w:keepNext w:val="0"/>
        <w:keepLines w:val="0"/>
        <w:pageBreakBefore w:val="0"/>
        <w:widowControl w:val="0"/>
        <w:kinsoku/>
        <w:wordWrap/>
        <w:overflowPunct/>
        <w:topLinePunct w:val="0"/>
        <w:autoSpaceDE/>
        <w:autoSpaceDN/>
        <w:bidi w:val="0"/>
        <w:adjustRightInd/>
        <w:snapToGrid/>
        <w:spacing w:after="0" w:line="440" w:lineRule="exact"/>
        <w:textAlignment w:val="auto"/>
        <w:rPr>
          <w:rFonts w:hint="eastAsia" w:ascii="宋体" w:hAnsi="宋体" w:eastAsia="宋体" w:cs="宋体"/>
          <w:b w:val="0"/>
          <w:bCs w:val="0"/>
          <w:color w:val="000000" w:themeColor="text1"/>
          <w:sz w:val="28"/>
          <w:szCs w:val="28"/>
          <w:lang w:val="en-US" w:eastAsia="zh-CN"/>
          <w14:textFill>
            <w14:solidFill>
              <w14:schemeClr w14:val="tx1"/>
            </w14:solidFill>
          </w14:textFill>
        </w:rPr>
      </w:pPr>
    </w:p>
    <w:p w14:paraId="4D4DB8F1">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i w:val="0"/>
          <w:iCs w:val="0"/>
          <w:caps w:val="0"/>
          <w:color w:val="000000" w:themeColor="text1"/>
          <w:spacing w:val="0"/>
          <w:sz w:val="24"/>
          <w:szCs w:val="24"/>
          <w:shd w:val="clear" w:color="auto" w:fill="FFFFFF"/>
          <w:lang w:eastAsia="zh-CN"/>
          <w14:textFill>
            <w14:solidFill>
              <w14:schemeClr w14:val="tx1"/>
            </w14:solidFill>
          </w14:textFill>
        </w:rPr>
      </w:pPr>
    </w:p>
    <w:p w14:paraId="0D45311E">
      <w:pPr>
        <w:pStyle w:val="6"/>
        <w:pageBreakBefore w:val="0"/>
        <w:overflowPunct/>
        <w:topLinePunct w:val="0"/>
        <w:bidi w:val="0"/>
        <w:spacing w:line="440" w:lineRule="exact"/>
        <w:rPr>
          <w:rFonts w:hint="eastAsia"/>
          <w:color w:val="000000" w:themeColor="text1"/>
          <w14:textFill>
            <w14:solidFill>
              <w14:schemeClr w14:val="tx1"/>
            </w14:solidFill>
          </w14:textFill>
        </w:rPr>
      </w:pPr>
    </w:p>
    <w:sectPr>
      <w:footerReference r:id="rId6" w:type="default"/>
      <w:pgSz w:w="11906" w:h="16838"/>
      <w:pgMar w:top="1701" w:right="1417" w:bottom="1701" w:left="1417" w:header="851" w:footer="992" w:gutter="0"/>
      <w:pgNumType w:fmt="decimal" w:start="1"/>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等线">
    <w:altName w:val="微软雅黑"/>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 w:name="Calibri Light">
    <w:panose1 w:val="020F0302020204030204"/>
    <w:charset w:val="00"/>
    <w:family w:val="auto"/>
    <w:pitch w:val="default"/>
    <w:sig w:usb0="A00002EF" w:usb1="4000207B" w:usb2="00000000" w:usb3="00000000" w:csb0="2000019F" w:csb1="00000000"/>
  </w:font>
  <w:font w:name="楷体">
    <w:panose1 w:val="02010609060101010101"/>
    <w:charset w:val="86"/>
    <w:family w:val="modern"/>
    <w:pitch w:val="default"/>
    <w:sig w:usb0="800002BF" w:usb1="38CF7CFA" w:usb2="00000016" w:usb3="00000000" w:csb0="00040001" w:csb1="00000000"/>
  </w:font>
  <w:font w:name="等线 Light">
    <w:altName w:val="宋体"/>
    <w:panose1 w:val="02010600030101010101"/>
    <w:charset w:val="86"/>
    <w:family w:val="auto"/>
    <w:pitch w:val="default"/>
    <w:sig w:usb0="00000000" w:usb1="00000000" w:usb2="00000016" w:usb3="00000000" w:csb0="0004000F" w:csb1="00000000"/>
  </w:font>
  <w:font w:name="仿宋_GB2312">
    <w:panose1 w:val="02010609030101010101"/>
    <w:charset w:val="86"/>
    <w:family w:val="auto"/>
    <w:pitch w:val="default"/>
    <w:sig w:usb0="00000001" w:usb1="080E0000" w:usb2="00000000" w:usb3="00000000" w:csb0="00040000" w:csb1="00000000"/>
  </w:font>
  <w:font w:name="Yu Mincho Light">
    <w:altName w:val="Segoe Print"/>
    <w:panose1 w:val="00000000000000000000"/>
    <w:charset w:val="00"/>
    <w:family w:val="roman"/>
    <w:pitch w:val="default"/>
    <w:sig w:usb0="00000000" w:usb1="00000000" w:usb2="00000012" w:usb3="00000000" w:csb0="0002009F"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 w:name="等线">
    <w:altName w:val="微软雅黑"/>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228D53">
    <w:pPr>
      <w:spacing w:line="188" w:lineRule="auto"/>
      <w:ind w:left="4826"/>
      <w:rPr>
        <w:rFonts w:hint="default" w:ascii="Calibri" w:hAnsi="Calibri" w:eastAsia="宋体" w:cs="Calibri"/>
        <w:sz w:val="17"/>
        <w:szCs w:val="17"/>
        <w:lang w:val="en-US"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6188C4">
    <w:pPr>
      <w:spacing w:line="188" w:lineRule="auto"/>
      <w:ind w:left="4826"/>
      <w:rPr>
        <w:rFonts w:hint="default" w:ascii="Calibri" w:hAnsi="Calibri" w:eastAsia="宋体" w:cs="Calibri"/>
        <w:sz w:val="17"/>
        <w:szCs w:val="17"/>
        <w:lang w:val="en-US" w:eastAsia="zh-CN"/>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3EF8B1">
    <w:pPr>
      <w:pStyle w:val="10"/>
    </w:pPr>
    <w: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0</wp:posOffset>
              </wp:positionV>
              <wp:extent cx="1828800" cy="1828800"/>
              <wp:effectExtent l="0" t="0" r="0" b="0"/>
              <wp:wrapNone/>
              <wp:docPr id="14" name="文本框 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49034CAC"/>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dYBIgyAgAAZQ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1gEiDICAABlBAAADgAAAAAAAAABACAAAAAfAQAAZHJzL2Uyb0RvYy54bWxQSwUG&#10;AAAAAAYABgBZAQAAwwUAAAAA&#10;">
              <v:fill on="f" focussize="0,0"/>
              <v:stroke on="f" weight="0.5pt"/>
              <v:imagedata o:title=""/>
              <o:lock v:ext="edit" aspectratio="f"/>
              <v:textbox inset="0mm,0mm,0mm,0mm" style="mso-fit-shape-to-text:t;">
                <w:txbxContent>
                  <w:p w14:paraId="49034CAC"/>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AE60A3">
    <w:pPr>
      <w:pStyle w:val="10"/>
    </w:pPr>
    <w: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6F1E8452">
                          <w:pPr>
                            <w:pStyle w:val="10"/>
                          </w:pPr>
                          <w:r>
                            <w:fldChar w:fldCharType="begin"/>
                          </w:r>
                          <w:r>
                            <w:instrText xml:space="preserve"> PAGE  \* MERGEFORMAT </w:instrText>
                          </w:r>
                          <w:r>
                            <w:fldChar w:fldCharType="separate"/>
                          </w:r>
                          <w:r>
                            <w:t>12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UWTfsxAgAAZQ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zqGCvSNPQwkVJXerRCu297&#10;nntTnEHTmW5SvOWbGqVsmQ8PzGE0UD4eT7jHUkqDlKa3KKmM+/Kv8xiPjsFLSYNRy6nGy6JEvtfo&#10;JADDYLjB2A+GPqo7g9lFc1BLMnHBBTmYpTPqM17UKuaAi2mOTDkNg3kXunHHi+RitUpBmD3Lwlbv&#10;LI/QUR5vV8cAOZPKUZROCXQnbjB9qU/9S4nj/ec+RT3+HZ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1Fk37MQIAAGUEAAAOAAAAAAAAAAEAIAAAAB8BAABkcnMvZTJvRG9jLnhtbFBLBQYA&#10;AAAABgAGAFkBAADCBQAAAAA=&#10;">
              <v:fill on="f" focussize="0,0"/>
              <v:stroke on="f" weight="0.5pt"/>
              <v:imagedata o:title=""/>
              <o:lock v:ext="edit" aspectratio="f"/>
              <v:textbox inset="0mm,0mm,0mm,0mm" style="mso-fit-shape-to-text:t;">
                <w:txbxContent>
                  <w:p w14:paraId="6F1E8452">
                    <w:pPr>
                      <w:pStyle w:val="10"/>
                    </w:pPr>
                    <w:r>
                      <w:fldChar w:fldCharType="begin"/>
                    </w:r>
                    <w:r>
                      <w:instrText xml:space="preserve"> PAGE  \* MERGEFORMAT </w:instrText>
                    </w:r>
                    <w:r>
                      <w:fldChar w:fldCharType="separate"/>
                    </w:r>
                    <w:r>
                      <w:t>12</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12D238D"/>
    <w:multiLevelType w:val="singleLevel"/>
    <w:tmpl w:val="112D238D"/>
    <w:lvl w:ilvl="0" w:tentative="0">
      <w:start w:val="4"/>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QxNTAyMWI4OTQ4MThhODY2NzI0ZDZlMDZjMThhOTYifQ=="/>
    <w:docVar w:name="KSO_WPS_MARK_KEY" w:val="c39bf30e-8f38-4c40-8133-f00f667eeb2f"/>
  </w:docVars>
  <w:rsids>
    <w:rsidRoot w:val="00E94122"/>
    <w:rsid w:val="00005CBB"/>
    <w:rsid w:val="00011715"/>
    <w:rsid w:val="0002327B"/>
    <w:rsid w:val="000248E7"/>
    <w:rsid w:val="00030A5E"/>
    <w:rsid w:val="0003787E"/>
    <w:rsid w:val="000379F8"/>
    <w:rsid w:val="00040F34"/>
    <w:rsid w:val="00041074"/>
    <w:rsid w:val="0004522F"/>
    <w:rsid w:val="000478FC"/>
    <w:rsid w:val="00050AD2"/>
    <w:rsid w:val="000573C8"/>
    <w:rsid w:val="0006784F"/>
    <w:rsid w:val="00072AD8"/>
    <w:rsid w:val="00090BF7"/>
    <w:rsid w:val="0009244B"/>
    <w:rsid w:val="00092FD1"/>
    <w:rsid w:val="00097C8A"/>
    <w:rsid w:val="000B7A0D"/>
    <w:rsid w:val="000E4CDA"/>
    <w:rsid w:val="000E590C"/>
    <w:rsid w:val="000E7239"/>
    <w:rsid w:val="000F1502"/>
    <w:rsid w:val="000F4C60"/>
    <w:rsid w:val="000F6AEE"/>
    <w:rsid w:val="00101781"/>
    <w:rsid w:val="001256D9"/>
    <w:rsid w:val="00132149"/>
    <w:rsid w:val="00135F1E"/>
    <w:rsid w:val="00137B2E"/>
    <w:rsid w:val="00145C25"/>
    <w:rsid w:val="00150911"/>
    <w:rsid w:val="001541EF"/>
    <w:rsid w:val="00161D90"/>
    <w:rsid w:val="00161E82"/>
    <w:rsid w:val="00176CE9"/>
    <w:rsid w:val="001811B6"/>
    <w:rsid w:val="001A61C8"/>
    <w:rsid w:val="001A620A"/>
    <w:rsid w:val="001B20AD"/>
    <w:rsid w:val="001C0BEF"/>
    <w:rsid w:val="001C1B05"/>
    <w:rsid w:val="001C77F4"/>
    <w:rsid w:val="001D21D7"/>
    <w:rsid w:val="001E3961"/>
    <w:rsid w:val="001E601C"/>
    <w:rsid w:val="001E7B6B"/>
    <w:rsid w:val="002020D5"/>
    <w:rsid w:val="00203115"/>
    <w:rsid w:val="002133D6"/>
    <w:rsid w:val="0022178C"/>
    <w:rsid w:val="002246B4"/>
    <w:rsid w:val="002265F2"/>
    <w:rsid w:val="002311DC"/>
    <w:rsid w:val="00237D99"/>
    <w:rsid w:val="00240114"/>
    <w:rsid w:val="002417A4"/>
    <w:rsid w:val="00246212"/>
    <w:rsid w:val="002537DD"/>
    <w:rsid w:val="0025511F"/>
    <w:rsid w:val="002562BB"/>
    <w:rsid w:val="0026258F"/>
    <w:rsid w:val="002629F8"/>
    <w:rsid w:val="00271D9D"/>
    <w:rsid w:val="002723BC"/>
    <w:rsid w:val="00297A1E"/>
    <w:rsid w:val="002A5EBB"/>
    <w:rsid w:val="002A647E"/>
    <w:rsid w:val="002B05C6"/>
    <w:rsid w:val="002B0CEE"/>
    <w:rsid w:val="002B1691"/>
    <w:rsid w:val="002B30CA"/>
    <w:rsid w:val="002C7D64"/>
    <w:rsid w:val="002D7B4E"/>
    <w:rsid w:val="002F4C8B"/>
    <w:rsid w:val="002F7FCE"/>
    <w:rsid w:val="0030476B"/>
    <w:rsid w:val="0030715E"/>
    <w:rsid w:val="0030724A"/>
    <w:rsid w:val="00324BD9"/>
    <w:rsid w:val="0032530B"/>
    <w:rsid w:val="003256BC"/>
    <w:rsid w:val="00331F68"/>
    <w:rsid w:val="00333FF4"/>
    <w:rsid w:val="003365B2"/>
    <w:rsid w:val="00336E75"/>
    <w:rsid w:val="003507CA"/>
    <w:rsid w:val="003646BD"/>
    <w:rsid w:val="00364F8B"/>
    <w:rsid w:val="00374B02"/>
    <w:rsid w:val="003A5E4D"/>
    <w:rsid w:val="003B53E7"/>
    <w:rsid w:val="003B6C40"/>
    <w:rsid w:val="003B76D4"/>
    <w:rsid w:val="003C2177"/>
    <w:rsid w:val="003E00A6"/>
    <w:rsid w:val="003E6215"/>
    <w:rsid w:val="003E7A93"/>
    <w:rsid w:val="00411757"/>
    <w:rsid w:val="0041333C"/>
    <w:rsid w:val="00414E7C"/>
    <w:rsid w:val="0041608A"/>
    <w:rsid w:val="00421414"/>
    <w:rsid w:val="004226DF"/>
    <w:rsid w:val="00423339"/>
    <w:rsid w:val="00435D3D"/>
    <w:rsid w:val="00442CE3"/>
    <w:rsid w:val="0045529D"/>
    <w:rsid w:val="0046123B"/>
    <w:rsid w:val="00466E7C"/>
    <w:rsid w:val="0048594F"/>
    <w:rsid w:val="00490FA9"/>
    <w:rsid w:val="004A3B40"/>
    <w:rsid w:val="004A6BE5"/>
    <w:rsid w:val="004A7543"/>
    <w:rsid w:val="004B53E0"/>
    <w:rsid w:val="004F21D9"/>
    <w:rsid w:val="004F3DC9"/>
    <w:rsid w:val="004F44D0"/>
    <w:rsid w:val="004F74CF"/>
    <w:rsid w:val="00511935"/>
    <w:rsid w:val="00516CE5"/>
    <w:rsid w:val="00530AB8"/>
    <w:rsid w:val="00531591"/>
    <w:rsid w:val="00531684"/>
    <w:rsid w:val="00533343"/>
    <w:rsid w:val="005340B9"/>
    <w:rsid w:val="005440D2"/>
    <w:rsid w:val="005464DE"/>
    <w:rsid w:val="00546BD6"/>
    <w:rsid w:val="0055225E"/>
    <w:rsid w:val="0055310E"/>
    <w:rsid w:val="00560A51"/>
    <w:rsid w:val="005667EC"/>
    <w:rsid w:val="0057530C"/>
    <w:rsid w:val="005A3EFC"/>
    <w:rsid w:val="005B1687"/>
    <w:rsid w:val="005B28A8"/>
    <w:rsid w:val="005B608B"/>
    <w:rsid w:val="005D1010"/>
    <w:rsid w:val="005D77B9"/>
    <w:rsid w:val="005D7E7B"/>
    <w:rsid w:val="00602628"/>
    <w:rsid w:val="00603255"/>
    <w:rsid w:val="006052B3"/>
    <w:rsid w:val="00606AAB"/>
    <w:rsid w:val="00611C63"/>
    <w:rsid w:val="0061504C"/>
    <w:rsid w:val="006163C0"/>
    <w:rsid w:val="0062645A"/>
    <w:rsid w:val="00627169"/>
    <w:rsid w:val="00632374"/>
    <w:rsid w:val="00644B07"/>
    <w:rsid w:val="0064693A"/>
    <w:rsid w:val="00647DF9"/>
    <w:rsid w:val="0065099F"/>
    <w:rsid w:val="00654B60"/>
    <w:rsid w:val="00656363"/>
    <w:rsid w:val="00657F85"/>
    <w:rsid w:val="00660168"/>
    <w:rsid w:val="0068173D"/>
    <w:rsid w:val="00683304"/>
    <w:rsid w:val="0068442D"/>
    <w:rsid w:val="006947CE"/>
    <w:rsid w:val="006968B9"/>
    <w:rsid w:val="006973FC"/>
    <w:rsid w:val="00697990"/>
    <w:rsid w:val="006A648D"/>
    <w:rsid w:val="006E2B18"/>
    <w:rsid w:val="00700611"/>
    <w:rsid w:val="00706BF7"/>
    <w:rsid w:val="0071046E"/>
    <w:rsid w:val="007104B2"/>
    <w:rsid w:val="00711D60"/>
    <w:rsid w:val="00716130"/>
    <w:rsid w:val="007204AC"/>
    <w:rsid w:val="0072153E"/>
    <w:rsid w:val="00735273"/>
    <w:rsid w:val="00742A5B"/>
    <w:rsid w:val="00742CA0"/>
    <w:rsid w:val="0075313D"/>
    <w:rsid w:val="00753C0F"/>
    <w:rsid w:val="007541AF"/>
    <w:rsid w:val="00755B82"/>
    <w:rsid w:val="00756722"/>
    <w:rsid w:val="00761295"/>
    <w:rsid w:val="0076730A"/>
    <w:rsid w:val="00771F4C"/>
    <w:rsid w:val="0077238C"/>
    <w:rsid w:val="00782114"/>
    <w:rsid w:val="007824AE"/>
    <w:rsid w:val="00785778"/>
    <w:rsid w:val="00787ACF"/>
    <w:rsid w:val="0079773B"/>
    <w:rsid w:val="007A0BA4"/>
    <w:rsid w:val="007A7CB9"/>
    <w:rsid w:val="007B36B7"/>
    <w:rsid w:val="007C25B8"/>
    <w:rsid w:val="007D4560"/>
    <w:rsid w:val="007D55EB"/>
    <w:rsid w:val="008008F7"/>
    <w:rsid w:val="00800C98"/>
    <w:rsid w:val="00805C2A"/>
    <w:rsid w:val="00807E54"/>
    <w:rsid w:val="0081606C"/>
    <w:rsid w:val="008338A9"/>
    <w:rsid w:val="008665ED"/>
    <w:rsid w:val="00871E0F"/>
    <w:rsid w:val="00874886"/>
    <w:rsid w:val="0089766F"/>
    <w:rsid w:val="008B0B0C"/>
    <w:rsid w:val="008B1914"/>
    <w:rsid w:val="008B2C7D"/>
    <w:rsid w:val="008B69BC"/>
    <w:rsid w:val="008C5867"/>
    <w:rsid w:val="008F48A3"/>
    <w:rsid w:val="00905C77"/>
    <w:rsid w:val="0091115F"/>
    <w:rsid w:val="00914234"/>
    <w:rsid w:val="00915692"/>
    <w:rsid w:val="009372CD"/>
    <w:rsid w:val="00940B5C"/>
    <w:rsid w:val="009477A6"/>
    <w:rsid w:val="00956652"/>
    <w:rsid w:val="00960122"/>
    <w:rsid w:val="009645AA"/>
    <w:rsid w:val="00970235"/>
    <w:rsid w:val="0097347F"/>
    <w:rsid w:val="00982771"/>
    <w:rsid w:val="0098507D"/>
    <w:rsid w:val="00992E18"/>
    <w:rsid w:val="009936D8"/>
    <w:rsid w:val="009969CE"/>
    <w:rsid w:val="009B62EE"/>
    <w:rsid w:val="009C3512"/>
    <w:rsid w:val="009C365F"/>
    <w:rsid w:val="009C3A87"/>
    <w:rsid w:val="009D35FC"/>
    <w:rsid w:val="009D3FAC"/>
    <w:rsid w:val="009D5F65"/>
    <w:rsid w:val="009D6530"/>
    <w:rsid w:val="009F0069"/>
    <w:rsid w:val="009F23C0"/>
    <w:rsid w:val="009F2936"/>
    <w:rsid w:val="00A04AB8"/>
    <w:rsid w:val="00A06536"/>
    <w:rsid w:val="00A13ACA"/>
    <w:rsid w:val="00A221BB"/>
    <w:rsid w:val="00A31BAF"/>
    <w:rsid w:val="00A32D21"/>
    <w:rsid w:val="00A33061"/>
    <w:rsid w:val="00A3512E"/>
    <w:rsid w:val="00A35443"/>
    <w:rsid w:val="00A357E5"/>
    <w:rsid w:val="00A3626B"/>
    <w:rsid w:val="00A3669D"/>
    <w:rsid w:val="00A36FC7"/>
    <w:rsid w:val="00A40F9B"/>
    <w:rsid w:val="00A54AEC"/>
    <w:rsid w:val="00A61495"/>
    <w:rsid w:val="00A622EC"/>
    <w:rsid w:val="00A63C1E"/>
    <w:rsid w:val="00A66134"/>
    <w:rsid w:val="00A725D6"/>
    <w:rsid w:val="00A74117"/>
    <w:rsid w:val="00A74426"/>
    <w:rsid w:val="00A85EB7"/>
    <w:rsid w:val="00A91E94"/>
    <w:rsid w:val="00A941B6"/>
    <w:rsid w:val="00A96FEA"/>
    <w:rsid w:val="00AB2827"/>
    <w:rsid w:val="00AC6BC8"/>
    <w:rsid w:val="00AD30C6"/>
    <w:rsid w:val="00AD7F28"/>
    <w:rsid w:val="00AE16F7"/>
    <w:rsid w:val="00AE413C"/>
    <w:rsid w:val="00AF5519"/>
    <w:rsid w:val="00AF5B7E"/>
    <w:rsid w:val="00AF6361"/>
    <w:rsid w:val="00AF7F0A"/>
    <w:rsid w:val="00B029EC"/>
    <w:rsid w:val="00B27B32"/>
    <w:rsid w:val="00B371A8"/>
    <w:rsid w:val="00B57D99"/>
    <w:rsid w:val="00B60D01"/>
    <w:rsid w:val="00B631A8"/>
    <w:rsid w:val="00B65173"/>
    <w:rsid w:val="00B77167"/>
    <w:rsid w:val="00B7741F"/>
    <w:rsid w:val="00BA325F"/>
    <w:rsid w:val="00BA6C8C"/>
    <w:rsid w:val="00BB7B5F"/>
    <w:rsid w:val="00BC2D6B"/>
    <w:rsid w:val="00BC3A1D"/>
    <w:rsid w:val="00BC47B7"/>
    <w:rsid w:val="00BD59C9"/>
    <w:rsid w:val="00BE04F6"/>
    <w:rsid w:val="00BE19FC"/>
    <w:rsid w:val="00BE3AF6"/>
    <w:rsid w:val="00BE665E"/>
    <w:rsid w:val="00BF0DD3"/>
    <w:rsid w:val="00BF1F91"/>
    <w:rsid w:val="00C056BC"/>
    <w:rsid w:val="00C17E9D"/>
    <w:rsid w:val="00C21946"/>
    <w:rsid w:val="00C21ACC"/>
    <w:rsid w:val="00C22A93"/>
    <w:rsid w:val="00C25E05"/>
    <w:rsid w:val="00C262F9"/>
    <w:rsid w:val="00C33873"/>
    <w:rsid w:val="00C34507"/>
    <w:rsid w:val="00C401B0"/>
    <w:rsid w:val="00C40316"/>
    <w:rsid w:val="00C40C03"/>
    <w:rsid w:val="00C43D8A"/>
    <w:rsid w:val="00C454C4"/>
    <w:rsid w:val="00C5247C"/>
    <w:rsid w:val="00C54A29"/>
    <w:rsid w:val="00C61482"/>
    <w:rsid w:val="00C61484"/>
    <w:rsid w:val="00C63901"/>
    <w:rsid w:val="00C73B68"/>
    <w:rsid w:val="00C74C6C"/>
    <w:rsid w:val="00C80CF8"/>
    <w:rsid w:val="00C81C01"/>
    <w:rsid w:val="00C84E2B"/>
    <w:rsid w:val="00C86EDB"/>
    <w:rsid w:val="00C93449"/>
    <w:rsid w:val="00CB14E3"/>
    <w:rsid w:val="00CC2B00"/>
    <w:rsid w:val="00CD0EBF"/>
    <w:rsid w:val="00CD3217"/>
    <w:rsid w:val="00CD47AA"/>
    <w:rsid w:val="00CE0FE6"/>
    <w:rsid w:val="00CE1E5F"/>
    <w:rsid w:val="00CF0336"/>
    <w:rsid w:val="00D00BFB"/>
    <w:rsid w:val="00D179E8"/>
    <w:rsid w:val="00D2514A"/>
    <w:rsid w:val="00D47CEA"/>
    <w:rsid w:val="00D537C5"/>
    <w:rsid w:val="00D62C34"/>
    <w:rsid w:val="00D701CD"/>
    <w:rsid w:val="00D80F7D"/>
    <w:rsid w:val="00D85760"/>
    <w:rsid w:val="00D92247"/>
    <w:rsid w:val="00D95700"/>
    <w:rsid w:val="00DA22AD"/>
    <w:rsid w:val="00DA39A6"/>
    <w:rsid w:val="00DB511B"/>
    <w:rsid w:val="00DC0AC6"/>
    <w:rsid w:val="00DC128D"/>
    <w:rsid w:val="00DC1870"/>
    <w:rsid w:val="00DD5F16"/>
    <w:rsid w:val="00DF088C"/>
    <w:rsid w:val="00DF221C"/>
    <w:rsid w:val="00DF7D03"/>
    <w:rsid w:val="00E0012C"/>
    <w:rsid w:val="00E11A2D"/>
    <w:rsid w:val="00E26247"/>
    <w:rsid w:val="00E41505"/>
    <w:rsid w:val="00E64C25"/>
    <w:rsid w:val="00E73024"/>
    <w:rsid w:val="00E91AFA"/>
    <w:rsid w:val="00E94122"/>
    <w:rsid w:val="00E9572F"/>
    <w:rsid w:val="00E97839"/>
    <w:rsid w:val="00EB060D"/>
    <w:rsid w:val="00EB2A20"/>
    <w:rsid w:val="00EB6132"/>
    <w:rsid w:val="00EC4836"/>
    <w:rsid w:val="00EC5781"/>
    <w:rsid w:val="00ED27C8"/>
    <w:rsid w:val="00ED6953"/>
    <w:rsid w:val="00EE2A67"/>
    <w:rsid w:val="00EE5BC4"/>
    <w:rsid w:val="00EF6A80"/>
    <w:rsid w:val="00F02239"/>
    <w:rsid w:val="00F225AA"/>
    <w:rsid w:val="00F37015"/>
    <w:rsid w:val="00F43F2C"/>
    <w:rsid w:val="00F444C0"/>
    <w:rsid w:val="00F45E32"/>
    <w:rsid w:val="00F4667C"/>
    <w:rsid w:val="00F4697C"/>
    <w:rsid w:val="00F54871"/>
    <w:rsid w:val="00F6603F"/>
    <w:rsid w:val="00F6675A"/>
    <w:rsid w:val="00F707C2"/>
    <w:rsid w:val="00F76436"/>
    <w:rsid w:val="00F97147"/>
    <w:rsid w:val="00FA2C56"/>
    <w:rsid w:val="00FC0D6E"/>
    <w:rsid w:val="00FC2129"/>
    <w:rsid w:val="00FC6A78"/>
    <w:rsid w:val="00FD2A45"/>
    <w:rsid w:val="00FD4703"/>
    <w:rsid w:val="00FE111B"/>
    <w:rsid w:val="00FE4A31"/>
    <w:rsid w:val="00FF5584"/>
    <w:rsid w:val="01674F5A"/>
    <w:rsid w:val="01830CE7"/>
    <w:rsid w:val="01C274D1"/>
    <w:rsid w:val="02631873"/>
    <w:rsid w:val="031C43FE"/>
    <w:rsid w:val="03300896"/>
    <w:rsid w:val="033C0871"/>
    <w:rsid w:val="03A2002F"/>
    <w:rsid w:val="03EF2937"/>
    <w:rsid w:val="043016BE"/>
    <w:rsid w:val="04770163"/>
    <w:rsid w:val="04896E8C"/>
    <w:rsid w:val="048F5BC4"/>
    <w:rsid w:val="049570C9"/>
    <w:rsid w:val="04AA3A81"/>
    <w:rsid w:val="04D41BCC"/>
    <w:rsid w:val="04DC4250"/>
    <w:rsid w:val="04E1427E"/>
    <w:rsid w:val="04E1735A"/>
    <w:rsid w:val="04FF775F"/>
    <w:rsid w:val="051628E7"/>
    <w:rsid w:val="05241967"/>
    <w:rsid w:val="058A40EC"/>
    <w:rsid w:val="05C27EB6"/>
    <w:rsid w:val="05F11A75"/>
    <w:rsid w:val="060379A0"/>
    <w:rsid w:val="06280011"/>
    <w:rsid w:val="062A4142"/>
    <w:rsid w:val="065554D2"/>
    <w:rsid w:val="06762742"/>
    <w:rsid w:val="06BD0894"/>
    <w:rsid w:val="0765157F"/>
    <w:rsid w:val="07855214"/>
    <w:rsid w:val="07A547BB"/>
    <w:rsid w:val="07AB1CBA"/>
    <w:rsid w:val="07B52CB4"/>
    <w:rsid w:val="07B766D6"/>
    <w:rsid w:val="07BD1E53"/>
    <w:rsid w:val="082B3C7B"/>
    <w:rsid w:val="08590D40"/>
    <w:rsid w:val="086C5D2B"/>
    <w:rsid w:val="089145D0"/>
    <w:rsid w:val="08975778"/>
    <w:rsid w:val="08DD0958"/>
    <w:rsid w:val="090824CD"/>
    <w:rsid w:val="095C1C5D"/>
    <w:rsid w:val="0980535D"/>
    <w:rsid w:val="09821D22"/>
    <w:rsid w:val="09FF6D86"/>
    <w:rsid w:val="0A555C49"/>
    <w:rsid w:val="0A7F6606"/>
    <w:rsid w:val="0A896E65"/>
    <w:rsid w:val="0AA44CD0"/>
    <w:rsid w:val="0B566825"/>
    <w:rsid w:val="0B5F3154"/>
    <w:rsid w:val="0B6D5F57"/>
    <w:rsid w:val="0BEE161E"/>
    <w:rsid w:val="0BF8626F"/>
    <w:rsid w:val="0C0F5E38"/>
    <w:rsid w:val="0C56547D"/>
    <w:rsid w:val="0C5B233E"/>
    <w:rsid w:val="0C5D4D2B"/>
    <w:rsid w:val="0C726DB4"/>
    <w:rsid w:val="0CA25A48"/>
    <w:rsid w:val="0CBF701E"/>
    <w:rsid w:val="0D162705"/>
    <w:rsid w:val="0D250003"/>
    <w:rsid w:val="0DB22432"/>
    <w:rsid w:val="0DCE4633"/>
    <w:rsid w:val="0E4D1706"/>
    <w:rsid w:val="0E6F7459"/>
    <w:rsid w:val="0EA61804"/>
    <w:rsid w:val="0EB14497"/>
    <w:rsid w:val="0ED2043D"/>
    <w:rsid w:val="0EDB7039"/>
    <w:rsid w:val="0EDC38B2"/>
    <w:rsid w:val="0EFA0136"/>
    <w:rsid w:val="0F031D5E"/>
    <w:rsid w:val="0F711AA5"/>
    <w:rsid w:val="0FB228B0"/>
    <w:rsid w:val="0FC71A53"/>
    <w:rsid w:val="0FD62C8E"/>
    <w:rsid w:val="0FFA4E15"/>
    <w:rsid w:val="102A702B"/>
    <w:rsid w:val="107B4D5D"/>
    <w:rsid w:val="10B17C6D"/>
    <w:rsid w:val="10C212A0"/>
    <w:rsid w:val="10D07891"/>
    <w:rsid w:val="10EA74BF"/>
    <w:rsid w:val="10F96EB7"/>
    <w:rsid w:val="1130597C"/>
    <w:rsid w:val="11365128"/>
    <w:rsid w:val="113B01BC"/>
    <w:rsid w:val="11412C33"/>
    <w:rsid w:val="11671785"/>
    <w:rsid w:val="116C77CC"/>
    <w:rsid w:val="11CD6A7A"/>
    <w:rsid w:val="11E11619"/>
    <w:rsid w:val="12702057"/>
    <w:rsid w:val="12892176"/>
    <w:rsid w:val="12D06E24"/>
    <w:rsid w:val="12E0337B"/>
    <w:rsid w:val="12EE0209"/>
    <w:rsid w:val="13152603"/>
    <w:rsid w:val="131C119B"/>
    <w:rsid w:val="13236DC3"/>
    <w:rsid w:val="13350E21"/>
    <w:rsid w:val="13454F81"/>
    <w:rsid w:val="135B2C24"/>
    <w:rsid w:val="13623C8F"/>
    <w:rsid w:val="13891793"/>
    <w:rsid w:val="13AD4D65"/>
    <w:rsid w:val="13D233C0"/>
    <w:rsid w:val="140136C6"/>
    <w:rsid w:val="14377D39"/>
    <w:rsid w:val="143E718C"/>
    <w:rsid w:val="1444190A"/>
    <w:rsid w:val="146E6986"/>
    <w:rsid w:val="14942891"/>
    <w:rsid w:val="14992E4B"/>
    <w:rsid w:val="149D7412"/>
    <w:rsid w:val="14A10B0A"/>
    <w:rsid w:val="14E26A2A"/>
    <w:rsid w:val="15074905"/>
    <w:rsid w:val="15202377"/>
    <w:rsid w:val="153443AE"/>
    <w:rsid w:val="15594B68"/>
    <w:rsid w:val="156E606E"/>
    <w:rsid w:val="15746A3E"/>
    <w:rsid w:val="158A3986"/>
    <w:rsid w:val="15936285"/>
    <w:rsid w:val="15B36D47"/>
    <w:rsid w:val="15DD7B8F"/>
    <w:rsid w:val="16095CF1"/>
    <w:rsid w:val="16292680"/>
    <w:rsid w:val="16370C3B"/>
    <w:rsid w:val="16374A23"/>
    <w:rsid w:val="16694F42"/>
    <w:rsid w:val="173826F5"/>
    <w:rsid w:val="174E2639"/>
    <w:rsid w:val="17522CC7"/>
    <w:rsid w:val="17613A25"/>
    <w:rsid w:val="17B13A7B"/>
    <w:rsid w:val="180C05CB"/>
    <w:rsid w:val="18514FE8"/>
    <w:rsid w:val="18534764"/>
    <w:rsid w:val="18635945"/>
    <w:rsid w:val="18756535"/>
    <w:rsid w:val="18A13B48"/>
    <w:rsid w:val="18A51FD6"/>
    <w:rsid w:val="18B94B72"/>
    <w:rsid w:val="18BB606E"/>
    <w:rsid w:val="18EB3521"/>
    <w:rsid w:val="190E24E6"/>
    <w:rsid w:val="19861EC8"/>
    <w:rsid w:val="19884848"/>
    <w:rsid w:val="1A3F25E0"/>
    <w:rsid w:val="1A461F34"/>
    <w:rsid w:val="1A4F7F0B"/>
    <w:rsid w:val="1A756B6F"/>
    <w:rsid w:val="1AF9703F"/>
    <w:rsid w:val="1B1A6CC2"/>
    <w:rsid w:val="1B283D33"/>
    <w:rsid w:val="1B2A2FC5"/>
    <w:rsid w:val="1B3B7762"/>
    <w:rsid w:val="1B44614A"/>
    <w:rsid w:val="1BAF26B8"/>
    <w:rsid w:val="1BBB3576"/>
    <w:rsid w:val="1BE220CB"/>
    <w:rsid w:val="1C206126"/>
    <w:rsid w:val="1C275D99"/>
    <w:rsid w:val="1C786CED"/>
    <w:rsid w:val="1CD207A5"/>
    <w:rsid w:val="1CF543D0"/>
    <w:rsid w:val="1D011605"/>
    <w:rsid w:val="1D11016F"/>
    <w:rsid w:val="1D1E76CF"/>
    <w:rsid w:val="1D211FD1"/>
    <w:rsid w:val="1D294BB1"/>
    <w:rsid w:val="1DC678B6"/>
    <w:rsid w:val="1E033199"/>
    <w:rsid w:val="1EE937D9"/>
    <w:rsid w:val="1EFD271C"/>
    <w:rsid w:val="1F093E7B"/>
    <w:rsid w:val="1F3C5FFF"/>
    <w:rsid w:val="1F923E71"/>
    <w:rsid w:val="2003681F"/>
    <w:rsid w:val="204F1D62"/>
    <w:rsid w:val="20567FE6"/>
    <w:rsid w:val="206E5FEA"/>
    <w:rsid w:val="2071419F"/>
    <w:rsid w:val="20A90683"/>
    <w:rsid w:val="20D109C9"/>
    <w:rsid w:val="212F00F3"/>
    <w:rsid w:val="219409A9"/>
    <w:rsid w:val="21957E70"/>
    <w:rsid w:val="21AA36F4"/>
    <w:rsid w:val="21B74900"/>
    <w:rsid w:val="220E40C1"/>
    <w:rsid w:val="22456F79"/>
    <w:rsid w:val="2272041C"/>
    <w:rsid w:val="228905B9"/>
    <w:rsid w:val="22CC3C2D"/>
    <w:rsid w:val="23042414"/>
    <w:rsid w:val="232069C2"/>
    <w:rsid w:val="23323EC1"/>
    <w:rsid w:val="235A6E60"/>
    <w:rsid w:val="2397556A"/>
    <w:rsid w:val="23D727B1"/>
    <w:rsid w:val="24020177"/>
    <w:rsid w:val="241531E2"/>
    <w:rsid w:val="24474A85"/>
    <w:rsid w:val="245D2AAE"/>
    <w:rsid w:val="247A7569"/>
    <w:rsid w:val="247B2FD6"/>
    <w:rsid w:val="24AB615B"/>
    <w:rsid w:val="24B86128"/>
    <w:rsid w:val="25AB5542"/>
    <w:rsid w:val="25AE4382"/>
    <w:rsid w:val="25EB7E37"/>
    <w:rsid w:val="26095BA6"/>
    <w:rsid w:val="26286D2D"/>
    <w:rsid w:val="265B185F"/>
    <w:rsid w:val="26D85E42"/>
    <w:rsid w:val="26F102DC"/>
    <w:rsid w:val="27086FAD"/>
    <w:rsid w:val="2725498A"/>
    <w:rsid w:val="274902B1"/>
    <w:rsid w:val="275C0E2A"/>
    <w:rsid w:val="2772616D"/>
    <w:rsid w:val="27782B1E"/>
    <w:rsid w:val="27933F68"/>
    <w:rsid w:val="27C30002"/>
    <w:rsid w:val="2808221A"/>
    <w:rsid w:val="28112534"/>
    <w:rsid w:val="282D02A4"/>
    <w:rsid w:val="28354CC6"/>
    <w:rsid w:val="284924BA"/>
    <w:rsid w:val="28892C3A"/>
    <w:rsid w:val="28A87552"/>
    <w:rsid w:val="28B13A9B"/>
    <w:rsid w:val="28D54028"/>
    <w:rsid w:val="291F2D9B"/>
    <w:rsid w:val="293215BB"/>
    <w:rsid w:val="29334909"/>
    <w:rsid w:val="2981502A"/>
    <w:rsid w:val="29A4315C"/>
    <w:rsid w:val="2A1B4669"/>
    <w:rsid w:val="2A1D640B"/>
    <w:rsid w:val="2A1E4FA1"/>
    <w:rsid w:val="2A3A7EE5"/>
    <w:rsid w:val="2A3B2255"/>
    <w:rsid w:val="2A555AF7"/>
    <w:rsid w:val="2A6D4CCF"/>
    <w:rsid w:val="2AA511CB"/>
    <w:rsid w:val="2ACF17B3"/>
    <w:rsid w:val="2AE4601D"/>
    <w:rsid w:val="2B0A6287"/>
    <w:rsid w:val="2B1851DD"/>
    <w:rsid w:val="2B2A1A69"/>
    <w:rsid w:val="2B506044"/>
    <w:rsid w:val="2B956648"/>
    <w:rsid w:val="2BA249E4"/>
    <w:rsid w:val="2C1F7E73"/>
    <w:rsid w:val="2C283EB1"/>
    <w:rsid w:val="2C6C38DF"/>
    <w:rsid w:val="2CEC47EF"/>
    <w:rsid w:val="2D0A2AB6"/>
    <w:rsid w:val="2D300B45"/>
    <w:rsid w:val="2D6D42F4"/>
    <w:rsid w:val="2DB476A8"/>
    <w:rsid w:val="2DC560F0"/>
    <w:rsid w:val="2DC958E0"/>
    <w:rsid w:val="2DDE0566"/>
    <w:rsid w:val="2E106474"/>
    <w:rsid w:val="2EA51479"/>
    <w:rsid w:val="2F316E72"/>
    <w:rsid w:val="2F3C5EE9"/>
    <w:rsid w:val="2FD158AD"/>
    <w:rsid w:val="3014445F"/>
    <w:rsid w:val="302C13A1"/>
    <w:rsid w:val="303A73DD"/>
    <w:rsid w:val="30615999"/>
    <w:rsid w:val="307D675E"/>
    <w:rsid w:val="30866DEB"/>
    <w:rsid w:val="30B17E5B"/>
    <w:rsid w:val="30BB2099"/>
    <w:rsid w:val="30E10A2E"/>
    <w:rsid w:val="310A20AD"/>
    <w:rsid w:val="314D7BF8"/>
    <w:rsid w:val="31BF3E29"/>
    <w:rsid w:val="31E50A8E"/>
    <w:rsid w:val="324E4B13"/>
    <w:rsid w:val="326A58C5"/>
    <w:rsid w:val="32743CD4"/>
    <w:rsid w:val="32D843C4"/>
    <w:rsid w:val="33066B30"/>
    <w:rsid w:val="332A6DF3"/>
    <w:rsid w:val="33742F79"/>
    <w:rsid w:val="33802EE0"/>
    <w:rsid w:val="339A302A"/>
    <w:rsid w:val="33A024C5"/>
    <w:rsid w:val="33AD5E1F"/>
    <w:rsid w:val="33FC187A"/>
    <w:rsid w:val="340E1B6C"/>
    <w:rsid w:val="341D592E"/>
    <w:rsid w:val="34200B04"/>
    <w:rsid w:val="34487E8B"/>
    <w:rsid w:val="344D3C9E"/>
    <w:rsid w:val="347100A1"/>
    <w:rsid w:val="34BF3754"/>
    <w:rsid w:val="350D42CC"/>
    <w:rsid w:val="35260E8C"/>
    <w:rsid w:val="35391318"/>
    <w:rsid w:val="358061E8"/>
    <w:rsid w:val="35941F46"/>
    <w:rsid w:val="35B446E9"/>
    <w:rsid w:val="35FB4687"/>
    <w:rsid w:val="3642201A"/>
    <w:rsid w:val="364D4D4E"/>
    <w:rsid w:val="368C384B"/>
    <w:rsid w:val="36985DB9"/>
    <w:rsid w:val="36A93DA5"/>
    <w:rsid w:val="36FC7966"/>
    <w:rsid w:val="370C45BF"/>
    <w:rsid w:val="370F49B6"/>
    <w:rsid w:val="372947EF"/>
    <w:rsid w:val="376A07DC"/>
    <w:rsid w:val="37804506"/>
    <w:rsid w:val="37AE78E7"/>
    <w:rsid w:val="37C244EF"/>
    <w:rsid w:val="37D762DE"/>
    <w:rsid w:val="37EB29B2"/>
    <w:rsid w:val="380F5C07"/>
    <w:rsid w:val="38123845"/>
    <w:rsid w:val="385F6418"/>
    <w:rsid w:val="38BC3900"/>
    <w:rsid w:val="38E00266"/>
    <w:rsid w:val="38F376AF"/>
    <w:rsid w:val="391000A6"/>
    <w:rsid w:val="392C672C"/>
    <w:rsid w:val="39343C5B"/>
    <w:rsid w:val="3A490D41"/>
    <w:rsid w:val="3A545913"/>
    <w:rsid w:val="3A913837"/>
    <w:rsid w:val="3AE710BD"/>
    <w:rsid w:val="3AE762AC"/>
    <w:rsid w:val="3B0710AE"/>
    <w:rsid w:val="3B091033"/>
    <w:rsid w:val="3B5205C3"/>
    <w:rsid w:val="3BAB5682"/>
    <w:rsid w:val="3C922560"/>
    <w:rsid w:val="3C98156D"/>
    <w:rsid w:val="3CBA0A71"/>
    <w:rsid w:val="3CE5252F"/>
    <w:rsid w:val="3CE84EAE"/>
    <w:rsid w:val="3D074DEE"/>
    <w:rsid w:val="3D2F500C"/>
    <w:rsid w:val="3D312111"/>
    <w:rsid w:val="3D625FAE"/>
    <w:rsid w:val="3D653A6C"/>
    <w:rsid w:val="3D860715"/>
    <w:rsid w:val="3D865FAC"/>
    <w:rsid w:val="3DEB5ECB"/>
    <w:rsid w:val="3E4F2C03"/>
    <w:rsid w:val="3E9F0A93"/>
    <w:rsid w:val="3EA177D5"/>
    <w:rsid w:val="3EB83438"/>
    <w:rsid w:val="3F140F04"/>
    <w:rsid w:val="3F320DB9"/>
    <w:rsid w:val="3F362B3D"/>
    <w:rsid w:val="3F8D4579"/>
    <w:rsid w:val="3FA00692"/>
    <w:rsid w:val="3FD02903"/>
    <w:rsid w:val="40556AC9"/>
    <w:rsid w:val="4062736A"/>
    <w:rsid w:val="406F3903"/>
    <w:rsid w:val="406F5553"/>
    <w:rsid w:val="4079250F"/>
    <w:rsid w:val="40893BEE"/>
    <w:rsid w:val="40DF71C7"/>
    <w:rsid w:val="40FE3A85"/>
    <w:rsid w:val="414349CD"/>
    <w:rsid w:val="41902E63"/>
    <w:rsid w:val="41E9396D"/>
    <w:rsid w:val="421B3C6F"/>
    <w:rsid w:val="42450FE7"/>
    <w:rsid w:val="42750DFF"/>
    <w:rsid w:val="42C03489"/>
    <w:rsid w:val="42C64594"/>
    <w:rsid w:val="42CD58E7"/>
    <w:rsid w:val="434F49F1"/>
    <w:rsid w:val="4381282E"/>
    <w:rsid w:val="43B10A30"/>
    <w:rsid w:val="43D95D40"/>
    <w:rsid w:val="44130ED5"/>
    <w:rsid w:val="446C34EB"/>
    <w:rsid w:val="44A95D61"/>
    <w:rsid w:val="44B55B3C"/>
    <w:rsid w:val="45B44173"/>
    <w:rsid w:val="45BF5FDD"/>
    <w:rsid w:val="460F771A"/>
    <w:rsid w:val="4616395C"/>
    <w:rsid w:val="46644E4F"/>
    <w:rsid w:val="4679767E"/>
    <w:rsid w:val="469C5879"/>
    <w:rsid w:val="46CA1987"/>
    <w:rsid w:val="471A5770"/>
    <w:rsid w:val="478B47D2"/>
    <w:rsid w:val="47BD10B8"/>
    <w:rsid w:val="47CF0423"/>
    <w:rsid w:val="47EB043F"/>
    <w:rsid w:val="482F057D"/>
    <w:rsid w:val="48A9054E"/>
    <w:rsid w:val="48E06698"/>
    <w:rsid w:val="48E31DE4"/>
    <w:rsid w:val="48FD6F97"/>
    <w:rsid w:val="49147383"/>
    <w:rsid w:val="496D3899"/>
    <w:rsid w:val="49E14569"/>
    <w:rsid w:val="49E61BB0"/>
    <w:rsid w:val="49FE5F10"/>
    <w:rsid w:val="4A0A4E92"/>
    <w:rsid w:val="4A110225"/>
    <w:rsid w:val="4A727852"/>
    <w:rsid w:val="4A90089B"/>
    <w:rsid w:val="4AED0883"/>
    <w:rsid w:val="4B2D52E3"/>
    <w:rsid w:val="4B810D8B"/>
    <w:rsid w:val="4B8E2832"/>
    <w:rsid w:val="4B9835BE"/>
    <w:rsid w:val="4BBE28D6"/>
    <w:rsid w:val="4BCB5B4A"/>
    <w:rsid w:val="4BF278C2"/>
    <w:rsid w:val="4C292472"/>
    <w:rsid w:val="4C6F7B52"/>
    <w:rsid w:val="4D144350"/>
    <w:rsid w:val="4D346D4F"/>
    <w:rsid w:val="4D3974DF"/>
    <w:rsid w:val="4D525CFF"/>
    <w:rsid w:val="4D6C7699"/>
    <w:rsid w:val="4D8067A8"/>
    <w:rsid w:val="4D9C4C77"/>
    <w:rsid w:val="4DE85FC2"/>
    <w:rsid w:val="4E0B07C7"/>
    <w:rsid w:val="4E9B1747"/>
    <w:rsid w:val="4ED11DCA"/>
    <w:rsid w:val="4F323FAD"/>
    <w:rsid w:val="4F6035DB"/>
    <w:rsid w:val="4F7019B6"/>
    <w:rsid w:val="4F796F93"/>
    <w:rsid w:val="4F964E2C"/>
    <w:rsid w:val="4FD30363"/>
    <w:rsid w:val="50594716"/>
    <w:rsid w:val="506D4C9B"/>
    <w:rsid w:val="50872BDE"/>
    <w:rsid w:val="5098434E"/>
    <w:rsid w:val="509E6508"/>
    <w:rsid w:val="50C344B6"/>
    <w:rsid w:val="50DE0082"/>
    <w:rsid w:val="51287B2F"/>
    <w:rsid w:val="514D7AF9"/>
    <w:rsid w:val="51832CE4"/>
    <w:rsid w:val="51B341D3"/>
    <w:rsid w:val="51C23EF7"/>
    <w:rsid w:val="51D174B9"/>
    <w:rsid w:val="52021EE1"/>
    <w:rsid w:val="521568B2"/>
    <w:rsid w:val="5219080C"/>
    <w:rsid w:val="52292682"/>
    <w:rsid w:val="5264494A"/>
    <w:rsid w:val="52A04B8D"/>
    <w:rsid w:val="52BF2FD2"/>
    <w:rsid w:val="52D25D57"/>
    <w:rsid w:val="530069BE"/>
    <w:rsid w:val="53270008"/>
    <w:rsid w:val="5359654B"/>
    <w:rsid w:val="53AA550C"/>
    <w:rsid w:val="53AB6A7F"/>
    <w:rsid w:val="53D14E78"/>
    <w:rsid w:val="53D37D5A"/>
    <w:rsid w:val="53E140A6"/>
    <w:rsid w:val="53E83922"/>
    <w:rsid w:val="53F1207E"/>
    <w:rsid w:val="54353698"/>
    <w:rsid w:val="546F2ABB"/>
    <w:rsid w:val="54D77428"/>
    <w:rsid w:val="552C52CA"/>
    <w:rsid w:val="55CA10A4"/>
    <w:rsid w:val="5603305B"/>
    <w:rsid w:val="56194C54"/>
    <w:rsid w:val="565A678F"/>
    <w:rsid w:val="56696A1E"/>
    <w:rsid w:val="568004A6"/>
    <w:rsid w:val="568A1783"/>
    <w:rsid w:val="569952A8"/>
    <w:rsid w:val="56B378D1"/>
    <w:rsid w:val="56BD7328"/>
    <w:rsid w:val="56D84348"/>
    <w:rsid w:val="56E02D6B"/>
    <w:rsid w:val="56EF5BBD"/>
    <w:rsid w:val="574735EE"/>
    <w:rsid w:val="576D2EF8"/>
    <w:rsid w:val="577457AE"/>
    <w:rsid w:val="57B845AF"/>
    <w:rsid w:val="57DD6634"/>
    <w:rsid w:val="587A4EC7"/>
    <w:rsid w:val="588C0756"/>
    <w:rsid w:val="589B6BF2"/>
    <w:rsid w:val="58BD06EF"/>
    <w:rsid w:val="58C755CE"/>
    <w:rsid w:val="58D26971"/>
    <w:rsid w:val="5903551F"/>
    <w:rsid w:val="5984052C"/>
    <w:rsid w:val="59927924"/>
    <w:rsid w:val="59A61006"/>
    <w:rsid w:val="59EC3BA2"/>
    <w:rsid w:val="59FC06B5"/>
    <w:rsid w:val="5AAA315A"/>
    <w:rsid w:val="5AAD17F8"/>
    <w:rsid w:val="5AB8045B"/>
    <w:rsid w:val="5AC23D53"/>
    <w:rsid w:val="5AC75A66"/>
    <w:rsid w:val="5AC951D8"/>
    <w:rsid w:val="5AD8467E"/>
    <w:rsid w:val="5AEA0183"/>
    <w:rsid w:val="5AF614B8"/>
    <w:rsid w:val="5AFE3E85"/>
    <w:rsid w:val="5B2073EB"/>
    <w:rsid w:val="5B370E4D"/>
    <w:rsid w:val="5B984B61"/>
    <w:rsid w:val="5BB01C67"/>
    <w:rsid w:val="5BDE576D"/>
    <w:rsid w:val="5BEA1599"/>
    <w:rsid w:val="5BF4045C"/>
    <w:rsid w:val="5BFE3961"/>
    <w:rsid w:val="5C207F86"/>
    <w:rsid w:val="5C225659"/>
    <w:rsid w:val="5C4F0418"/>
    <w:rsid w:val="5C8C6F77"/>
    <w:rsid w:val="5CB54C18"/>
    <w:rsid w:val="5CE07B86"/>
    <w:rsid w:val="5D023628"/>
    <w:rsid w:val="5D100A75"/>
    <w:rsid w:val="5D282980"/>
    <w:rsid w:val="5D901099"/>
    <w:rsid w:val="5DAF4D9E"/>
    <w:rsid w:val="5DDD4941"/>
    <w:rsid w:val="5E145C33"/>
    <w:rsid w:val="5E584E61"/>
    <w:rsid w:val="5EAD612B"/>
    <w:rsid w:val="5F046441"/>
    <w:rsid w:val="5F102E85"/>
    <w:rsid w:val="5F1469FC"/>
    <w:rsid w:val="5F200CCF"/>
    <w:rsid w:val="5F877E8C"/>
    <w:rsid w:val="5FB721AE"/>
    <w:rsid w:val="5FE2209F"/>
    <w:rsid w:val="5FEF1B86"/>
    <w:rsid w:val="5FF76711"/>
    <w:rsid w:val="60077E12"/>
    <w:rsid w:val="60A81323"/>
    <w:rsid w:val="60DA78DD"/>
    <w:rsid w:val="60E72EF4"/>
    <w:rsid w:val="61222DCD"/>
    <w:rsid w:val="614E689C"/>
    <w:rsid w:val="61553CD8"/>
    <w:rsid w:val="615D01D4"/>
    <w:rsid w:val="615E7330"/>
    <w:rsid w:val="61A42DDE"/>
    <w:rsid w:val="61AA1C53"/>
    <w:rsid w:val="61D434C0"/>
    <w:rsid w:val="61DB4FEA"/>
    <w:rsid w:val="625B11F1"/>
    <w:rsid w:val="629231BD"/>
    <w:rsid w:val="62E927AC"/>
    <w:rsid w:val="630F307E"/>
    <w:rsid w:val="631D27A2"/>
    <w:rsid w:val="632C7FDA"/>
    <w:rsid w:val="633809B7"/>
    <w:rsid w:val="63776C0A"/>
    <w:rsid w:val="64011A5B"/>
    <w:rsid w:val="640E5332"/>
    <w:rsid w:val="646169CD"/>
    <w:rsid w:val="646A3159"/>
    <w:rsid w:val="64803B78"/>
    <w:rsid w:val="64864DA3"/>
    <w:rsid w:val="64923598"/>
    <w:rsid w:val="64D756CC"/>
    <w:rsid w:val="64DC40FC"/>
    <w:rsid w:val="64EF7C62"/>
    <w:rsid w:val="65195B3F"/>
    <w:rsid w:val="65245B24"/>
    <w:rsid w:val="658313C1"/>
    <w:rsid w:val="65AA7E63"/>
    <w:rsid w:val="65C60337"/>
    <w:rsid w:val="65CC0E9B"/>
    <w:rsid w:val="65D33A39"/>
    <w:rsid w:val="65F047AD"/>
    <w:rsid w:val="6606021D"/>
    <w:rsid w:val="66AA160B"/>
    <w:rsid w:val="66AA2641"/>
    <w:rsid w:val="66CE5E35"/>
    <w:rsid w:val="670C5463"/>
    <w:rsid w:val="67304AF4"/>
    <w:rsid w:val="676B5CC9"/>
    <w:rsid w:val="6770465F"/>
    <w:rsid w:val="678E0E89"/>
    <w:rsid w:val="67B271B5"/>
    <w:rsid w:val="67CF04D5"/>
    <w:rsid w:val="680844AE"/>
    <w:rsid w:val="681B14B1"/>
    <w:rsid w:val="68293C2D"/>
    <w:rsid w:val="68436BE9"/>
    <w:rsid w:val="686470C5"/>
    <w:rsid w:val="68737FF7"/>
    <w:rsid w:val="687D1CB4"/>
    <w:rsid w:val="689B2FF5"/>
    <w:rsid w:val="689E250C"/>
    <w:rsid w:val="68E4493C"/>
    <w:rsid w:val="691452AC"/>
    <w:rsid w:val="694938EB"/>
    <w:rsid w:val="694D46D7"/>
    <w:rsid w:val="695D6EE8"/>
    <w:rsid w:val="69651D50"/>
    <w:rsid w:val="69790691"/>
    <w:rsid w:val="69F36887"/>
    <w:rsid w:val="69F3745B"/>
    <w:rsid w:val="69F60A3E"/>
    <w:rsid w:val="69FC5779"/>
    <w:rsid w:val="6A465767"/>
    <w:rsid w:val="6AD01720"/>
    <w:rsid w:val="6B3D3D5D"/>
    <w:rsid w:val="6B530630"/>
    <w:rsid w:val="6B586857"/>
    <w:rsid w:val="6B5C5B5B"/>
    <w:rsid w:val="6B72122D"/>
    <w:rsid w:val="6B797260"/>
    <w:rsid w:val="6B7F097F"/>
    <w:rsid w:val="6B8E4D79"/>
    <w:rsid w:val="6BDF3567"/>
    <w:rsid w:val="6C005D82"/>
    <w:rsid w:val="6C120BC7"/>
    <w:rsid w:val="6C6B112D"/>
    <w:rsid w:val="6CA81BAB"/>
    <w:rsid w:val="6CBB3282"/>
    <w:rsid w:val="6CD54126"/>
    <w:rsid w:val="6CEA1598"/>
    <w:rsid w:val="6D2A2C8E"/>
    <w:rsid w:val="6D4153CC"/>
    <w:rsid w:val="6D5E2488"/>
    <w:rsid w:val="6DBC56F5"/>
    <w:rsid w:val="6E11682A"/>
    <w:rsid w:val="6E965B60"/>
    <w:rsid w:val="6EB85CF3"/>
    <w:rsid w:val="6F5A5F47"/>
    <w:rsid w:val="6F8C790A"/>
    <w:rsid w:val="702249EF"/>
    <w:rsid w:val="70276157"/>
    <w:rsid w:val="7083285E"/>
    <w:rsid w:val="70A97C9F"/>
    <w:rsid w:val="70BF3ABD"/>
    <w:rsid w:val="710937BD"/>
    <w:rsid w:val="712E211E"/>
    <w:rsid w:val="713E68F1"/>
    <w:rsid w:val="71751495"/>
    <w:rsid w:val="71F0121E"/>
    <w:rsid w:val="72265427"/>
    <w:rsid w:val="73070243"/>
    <w:rsid w:val="73202998"/>
    <w:rsid w:val="73622B67"/>
    <w:rsid w:val="73CA36E2"/>
    <w:rsid w:val="73FC5448"/>
    <w:rsid w:val="73FF64B9"/>
    <w:rsid w:val="741263B5"/>
    <w:rsid w:val="744E222D"/>
    <w:rsid w:val="745E3F67"/>
    <w:rsid w:val="7468324D"/>
    <w:rsid w:val="747A4EA0"/>
    <w:rsid w:val="75053910"/>
    <w:rsid w:val="750861EA"/>
    <w:rsid w:val="750E6D27"/>
    <w:rsid w:val="753927CD"/>
    <w:rsid w:val="75CD6147"/>
    <w:rsid w:val="75EC7DC7"/>
    <w:rsid w:val="75FA77C1"/>
    <w:rsid w:val="7610485C"/>
    <w:rsid w:val="762C3926"/>
    <w:rsid w:val="76876745"/>
    <w:rsid w:val="76E635C9"/>
    <w:rsid w:val="77097CD8"/>
    <w:rsid w:val="772705DC"/>
    <w:rsid w:val="772E231F"/>
    <w:rsid w:val="77316C41"/>
    <w:rsid w:val="778555EB"/>
    <w:rsid w:val="77A11BAE"/>
    <w:rsid w:val="77A3625D"/>
    <w:rsid w:val="77A54E44"/>
    <w:rsid w:val="77BF20B5"/>
    <w:rsid w:val="77DC2923"/>
    <w:rsid w:val="77FC6012"/>
    <w:rsid w:val="78075230"/>
    <w:rsid w:val="78507E9F"/>
    <w:rsid w:val="785A0B02"/>
    <w:rsid w:val="787C6BCC"/>
    <w:rsid w:val="78B544CE"/>
    <w:rsid w:val="78FB3325"/>
    <w:rsid w:val="790243F1"/>
    <w:rsid w:val="792774B2"/>
    <w:rsid w:val="795B175A"/>
    <w:rsid w:val="79957CB4"/>
    <w:rsid w:val="79C95770"/>
    <w:rsid w:val="79E4614E"/>
    <w:rsid w:val="7A04194D"/>
    <w:rsid w:val="7A0571DD"/>
    <w:rsid w:val="7A0E6E01"/>
    <w:rsid w:val="7A413066"/>
    <w:rsid w:val="7A430691"/>
    <w:rsid w:val="7A675699"/>
    <w:rsid w:val="7A7430CC"/>
    <w:rsid w:val="7A986D33"/>
    <w:rsid w:val="7AA604B5"/>
    <w:rsid w:val="7ABB2C5D"/>
    <w:rsid w:val="7ADF3C6F"/>
    <w:rsid w:val="7AEF5EB7"/>
    <w:rsid w:val="7B0041AF"/>
    <w:rsid w:val="7B191BFA"/>
    <w:rsid w:val="7B2F0516"/>
    <w:rsid w:val="7B50677B"/>
    <w:rsid w:val="7B9815DF"/>
    <w:rsid w:val="7BB128AD"/>
    <w:rsid w:val="7C03784D"/>
    <w:rsid w:val="7C090CD8"/>
    <w:rsid w:val="7C4D5998"/>
    <w:rsid w:val="7C58631B"/>
    <w:rsid w:val="7C8C6317"/>
    <w:rsid w:val="7C9C65D2"/>
    <w:rsid w:val="7CAA4127"/>
    <w:rsid w:val="7CB41083"/>
    <w:rsid w:val="7CF50227"/>
    <w:rsid w:val="7CFF2CD6"/>
    <w:rsid w:val="7D1120F5"/>
    <w:rsid w:val="7D130622"/>
    <w:rsid w:val="7D181ACF"/>
    <w:rsid w:val="7D42543C"/>
    <w:rsid w:val="7DE021AA"/>
    <w:rsid w:val="7DE03317"/>
    <w:rsid w:val="7E284CE2"/>
    <w:rsid w:val="7E3D5444"/>
    <w:rsid w:val="7E843AFA"/>
    <w:rsid w:val="7EA75B78"/>
    <w:rsid w:val="7EC602CD"/>
    <w:rsid w:val="7EEF078D"/>
    <w:rsid w:val="7EFA1E2B"/>
    <w:rsid w:val="7F225049"/>
    <w:rsid w:val="7F4C504B"/>
    <w:rsid w:val="7F530A3F"/>
    <w:rsid w:val="7F8244DD"/>
    <w:rsid w:val="7FB268D8"/>
    <w:rsid w:val="7FB77C50"/>
    <w:rsid w:val="7FBC79E8"/>
    <w:rsid w:val="7FC80F85"/>
    <w:rsid w:val="7FFF168A"/>
    <w:rsid w:val="BFDF877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qFormat="1" w:unhideWhenUsed="0" w:uiPriority="0" w:semiHidden="0"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qFormat="1" w:unhideWhenUsed="0" w:uiPriority="0" w:semiHidden="0" w:name="Body Text First Indent"/>
    <w:lsdException w:qFormat="1" w:uiPriority="99" w:semiHidden="0"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qFormat="1"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qFormat="1"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qFormat="1"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qFormat="1" w:unhideWhenUsed="0" w:uiPriority="62" w:semiHidden="0" w:name="Light Grid Accent 5"/>
    <w:lsdException w:qFormat="1"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qFormat="1"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5">
    <w:name w:val="heading 1"/>
    <w:basedOn w:val="1"/>
    <w:next w:val="1"/>
    <w:qFormat/>
    <w:uiPriority w:val="9"/>
    <w:pPr>
      <w:keepNext/>
      <w:keepLines/>
      <w:spacing w:before="340" w:after="330" w:line="578" w:lineRule="auto"/>
      <w:outlineLvl w:val="0"/>
    </w:pPr>
    <w:rPr>
      <w:rFonts w:eastAsia="黑体"/>
      <w:bCs/>
      <w:kern w:val="44"/>
      <w:sz w:val="30"/>
      <w:szCs w:val="44"/>
    </w:rPr>
  </w:style>
  <w:style w:type="paragraph" w:styleId="6">
    <w:name w:val="heading 2"/>
    <w:basedOn w:val="1"/>
    <w:next w:val="1"/>
    <w:link w:val="29"/>
    <w:autoRedefine/>
    <w:qFormat/>
    <w:uiPriority w:val="0"/>
    <w:pPr>
      <w:keepNext/>
      <w:keepLines/>
      <w:spacing w:before="260" w:after="260" w:line="416" w:lineRule="auto"/>
      <w:outlineLvl w:val="1"/>
    </w:pPr>
    <w:rPr>
      <w:rFonts w:ascii="Arial" w:hAnsi="Arial" w:eastAsia="黑体" w:cs="Times New Roman"/>
      <w:b/>
      <w:bCs/>
      <w:sz w:val="32"/>
      <w:szCs w:val="32"/>
    </w:rPr>
  </w:style>
  <w:style w:type="character" w:default="1" w:styleId="24">
    <w:name w:val="Default Paragraph Font"/>
    <w:autoRedefine/>
    <w:semiHidden/>
    <w:unhideWhenUsed/>
    <w:qFormat/>
    <w:uiPriority w:val="1"/>
  </w:style>
  <w:style w:type="table" w:default="1" w:styleId="16">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Calibri" w:hAnsi="Calibri" w:cs="Calibri"/>
      <w:sz w:val="20"/>
      <w:szCs w:val="20"/>
    </w:rPr>
    <w:tblPr>
      <w:tblCellMar>
        <w:top w:w="0" w:type="dxa"/>
        <w:left w:w="108" w:type="dxa"/>
        <w:bottom w:w="0" w:type="dxa"/>
        <w:right w:w="108" w:type="dxa"/>
      </w:tblCellMar>
    </w:tblPr>
  </w:style>
  <w:style w:type="paragraph" w:styleId="2">
    <w:name w:val="Body Text First Indent"/>
    <w:basedOn w:val="3"/>
    <w:next w:val="4"/>
    <w:qFormat/>
    <w:uiPriority w:val="0"/>
    <w:pPr>
      <w:ind w:firstLine="420" w:firstLineChars="100"/>
    </w:pPr>
  </w:style>
  <w:style w:type="paragraph" w:styleId="3">
    <w:name w:val="Body Text"/>
    <w:basedOn w:val="1"/>
    <w:semiHidden/>
    <w:unhideWhenUsed/>
    <w:qFormat/>
    <w:uiPriority w:val="99"/>
    <w:pPr>
      <w:spacing w:after="120"/>
    </w:pPr>
  </w:style>
  <w:style w:type="paragraph" w:styleId="4">
    <w:name w:val="Body Text 2"/>
    <w:basedOn w:val="1"/>
    <w:qFormat/>
    <w:uiPriority w:val="0"/>
    <w:pPr>
      <w:spacing w:after="120" w:afterLines="0" w:afterAutospacing="0" w:line="480" w:lineRule="auto"/>
    </w:pPr>
  </w:style>
  <w:style w:type="paragraph" w:styleId="7">
    <w:name w:val="Body Text Indent"/>
    <w:basedOn w:val="1"/>
    <w:qFormat/>
    <w:uiPriority w:val="0"/>
    <w:pPr>
      <w:spacing w:after="120"/>
      <w:ind w:left="420" w:leftChars="200"/>
    </w:pPr>
  </w:style>
  <w:style w:type="paragraph" w:styleId="8">
    <w:name w:val="Date"/>
    <w:basedOn w:val="1"/>
    <w:next w:val="1"/>
    <w:link w:val="33"/>
    <w:qFormat/>
    <w:uiPriority w:val="0"/>
    <w:pPr>
      <w:ind w:left="100" w:leftChars="2500"/>
    </w:pPr>
    <w:rPr>
      <w:szCs w:val="24"/>
    </w:rPr>
  </w:style>
  <w:style w:type="paragraph" w:styleId="9">
    <w:name w:val="Balloon Text"/>
    <w:basedOn w:val="1"/>
    <w:link w:val="30"/>
    <w:qFormat/>
    <w:uiPriority w:val="0"/>
    <w:rPr>
      <w:sz w:val="18"/>
      <w:szCs w:val="18"/>
    </w:rPr>
  </w:style>
  <w:style w:type="paragraph" w:styleId="10">
    <w:name w:val="footer"/>
    <w:basedOn w:val="1"/>
    <w:link w:val="32"/>
    <w:qFormat/>
    <w:uiPriority w:val="99"/>
    <w:pPr>
      <w:tabs>
        <w:tab w:val="center" w:pos="4153"/>
        <w:tab w:val="right" w:pos="8306"/>
      </w:tabs>
      <w:snapToGrid w:val="0"/>
      <w:jc w:val="left"/>
    </w:pPr>
    <w:rPr>
      <w:sz w:val="18"/>
      <w:szCs w:val="18"/>
    </w:rPr>
  </w:style>
  <w:style w:type="paragraph" w:styleId="11">
    <w:name w:val="header"/>
    <w:basedOn w:val="1"/>
    <w:link w:val="34"/>
    <w:qFormat/>
    <w:uiPriority w:val="0"/>
    <w:pPr>
      <w:pBdr>
        <w:bottom w:val="single" w:color="auto" w:sz="6" w:space="1"/>
      </w:pBdr>
      <w:tabs>
        <w:tab w:val="center" w:pos="4153"/>
        <w:tab w:val="right" w:pos="8306"/>
      </w:tabs>
      <w:snapToGrid w:val="0"/>
      <w:jc w:val="center"/>
    </w:pPr>
    <w:rPr>
      <w:sz w:val="18"/>
      <w:szCs w:val="18"/>
    </w:rPr>
  </w:style>
  <w:style w:type="paragraph" w:styleId="12">
    <w:name w:val="toc 2"/>
    <w:basedOn w:val="1"/>
    <w:next w:val="1"/>
    <w:qFormat/>
    <w:uiPriority w:val="0"/>
    <w:pPr>
      <w:ind w:left="420" w:leftChars="200"/>
    </w:pPr>
  </w:style>
  <w:style w:type="paragraph" w:styleId="13">
    <w:name w:val="Normal (Web)"/>
    <w:basedOn w:val="1"/>
    <w:qFormat/>
    <w:uiPriority w:val="99"/>
    <w:pPr>
      <w:spacing w:beforeAutospacing="1" w:afterAutospacing="1"/>
      <w:jc w:val="left"/>
    </w:pPr>
    <w:rPr>
      <w:rFonts w:ascii="Calibri" w:hAnsi="Calibri" w:eastAsia="宋体" w:cs="Times New Roman"/>
      <w:kern w:val="0"/>
      <w:sz w:val="24"/>
      <w:szCs w:val="24"/>
    </w:rPr>
  </w:style>
  <w:style w:type="paragraph" w:styleId="14">
    <w:name w:val="Title"/>
    <w:basedOn w:val="1"/>
    <w:next w:val="1"/>
    <w:qFormat/>
    <w:uiPriority w:val="10"/>
    <w:pPr>
      <w:spacing w:before="240" w:after="60"/>
      <w:jc w:val="center"/>
      <w:outlineLvl w:val="0"/>
    </w:pPr>
    <w:rPr>
      <w:rFonts w:ascii="Calibri Light" w:hAnsi="Calibri Light" w:eastAsia="楷体" w:cs="Times New Roman"/>
      <w:b/>
      <w:bCs/>
      <w:sz w:val="30"/>
      <w:szCs w:val="32"/>
    </w:rPr>
  </w:style>
  <w:style w:type="paragraph" w:styleId="15">
    <w:name w:val="Body Text First Indent 2"/>
    <w:basedOn w:val="7"/>
    <w:next w:val="1"/>
    <w:unhideWhenUsed/>
    <w:qFormat/>
    <w:uiPriority w:val="99"/>
    <w:pPr>
      <w:ind w:firstLine="420" w:firstLineChars="200"/>
    </w:pPr>
  </w:style>
  <w:style w:type="table" w:styleId="17">
    <w:name w:val="Table Grid"/>
    <w:basedOn w:val="16"/>
    <w:autoRedefine/>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8">
    <w:name w:val="Light Grid Accent 1"/>
    <w:basedOn w:val="16"/>
    <w:autoRedefine/>
    <w:qFormat/>
    <w:uiPriority w:val="62"/>
    <w:tblPr>
      <w:tblBorders>
        <w:top w:val="single" w:color="4472C4" w:themeColor="accent1" w:sz="8" w:space="0"/>
        <w:left w:val="single" w:color="4472C4" w:themeColor="accent1" w:sz="8" w:space="0"/>
        <w:bottom w:val="single" w:color="4472C4" w:themeColor="accent1" w:sz="8" w:space="0"/>
        <w:right w:val="single" w:color="4472C4" w:themeColor="accent1" w:sz="8" w:space="0"/>
        <w:insideH w:val="single" w:color="4472C4" w:themeColor="accent1" w:sz="8" w:space="0"/>
        <w:insideV w:val="single" w:color="4472C4" w:themeColor="accent1"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18" w:space="0"/>
          <w:right w:val="single" w:color="4472C4" w:themeColor="accent1"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4472C4" w:themeColor="accent1" w:sz="6" w:space="0"/>
          <w:left w:val="single" w:color="4472C4" w:themeColor="accent1" w:sz="8" w:space="0"/>
          <w:bottom w:val="single" w:color="4472C4" w:themeColor="accent1" w:sz="8" w:space="0"/>
          <w:right w:val="single" w:color="4472C4" w:themeColor="accent1"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tcPr>
    </w:tblStylePr>
    <w:tblStylePr w:type="band1Vert">
      <w:tblPr/>
      <w:tcPr>
        <w:tcBorders>
          <w:top w:val="single" w:color="4472C4" w:themeColor="accent1" w:sz="8" w:space="0"/>
          <w:left w:val="single" w:color="4472C4" w:themeColor="accent1" w:sz="8" w:space="0"/>
          <w:bottom w:val="single" w:color="4472C4" w:themeColor="accent1" w:sz="8" w:space="0"/>
          <w:right w:val="single" w:color="4472C4" w:themeColor="accent1" w:sz="8" w:space="0"/>
        </w:tcBorders>
        <w:shd w:val="clear" w:color="auto" w:fill="D0DCF0" w:themeFill="accent1" w:themeFillTint="3F"/>
      </w:tcPr>
    </w:tblStylePr>
    <w:tblStylePr w:type="band1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shd w:val="clear" w:color="auto" w:fill="D0DCF0" w:themeFill="accent1" w:themeFillTint="3F"/>
      </w:tcPr>
    </w:tblStylePr>
    <w:tblStylePr w:type="band2Horz">
      <w:tblPr/>
      <w:tcPr>
        <w:tcBorders>
          <w:top w:val="single" w:color="4472C4" w:themeColor="accent1" w:sz="8" w:space="0"/>
          <w:left w:val="single" w:color="4472C4" w:themeColor="accent1" w:sz="8" w:space="0"/>
          <w:bottom w:val="single" w:color="4472C4" w:themeColor="accent1" w:sz="8" w:space="0"/>
          <w:right w:val="single" w:color="4472C4" w:themeColor="accent1" w:sz="8" w:space="0"/>
          <w:insideV w:val="single" w:sz="8" w:space="0"/>
        </w:tcBorders>
      </w:tcPr>
    </w:tblStylePr>
  </w:style>
  <w:style w:type="table" w:styleId="19">
    <w:name w:val="Light Grid Accent 4"/>
    <w:basedOn w:val="16"/>
    <w:autoRedefine/>
    <w:qFormat/>
    <w:uiPriority w:val="62"/>
    <w:tblPr>
      <w:tblBorders>
        <w:top w:val="single" w:color="FFC000" w:themeColor="accent4" w:sz="8" w:space="0"/>
        <w:left w:val="single" w:color="FFC000" w:themeColor="accent4" w:sz="8" w:space="0"/>
        <w:bottom w:val="single" w:color="FFC000" w:themeColor="accent4" w:sz="8" w:space="0"/>
        <w:right w:val="single" w:color="FFC000" w:themeColor="accent4" w:sz="8" w:space="0"/>
        <w:insideH w:val="single" w:color="FFC000" w:themeColor="accent4" w:sz="8" w:space="0"/>
        <w:insideV w:val="single" w:color="FFC000" w:themeColor="accent4"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18" w:space="0"/>
          <w:right w:val="single" w:color="FFC000" w:themeColor="accent4"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FFC000" w:themeColor="accent4" w:sz="6" w:space="0"/>
          <w:left w:val="single" w:color="FFC000" w:themeColor="accent4" w:sz="8" w:space="0"/>
          <w:bottom w:val="single" w:color="FFC000" w:themeColor="accent4" w:sz="8" w:space="0"/>
          <w:right w:val="single" w:color="FFC000" w:themeColor="accent4"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tcPr>
    </w:tblStylePr>
    <w:tblStylePr w:type="band1Vert">
      <w:tblPr/>
      <w:tcPr>
        <w:tcBorders>
          <w:top w:val="single" w:color="FFC000" w:themeColor="accent4" w:sz="8" w:space="0"/>
          <w:left w:val="single" w:color="FFC000" w:themeColor="accent4" w:sz="8" w:space="0"/>
          <w:bottom w:val="single" w:color="FFC000" w:themeColor="accent4" w:sz="8" w:space="0"/>
          <w:right w:val="single" w:color="FFC000" w:themeColor="accent4" w:sz="8" w:space="0"/>
        </w:tcBorders>
        <w:shd w:val="clear" w:color="auto" w:fill="FFEFBF" w:themeFill="accent4" w:themeFillTint="3F"/>
      </w:tcPr>
    </w:tblStylePr>
    <w:tblStylePr w:type="band1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shd w:val="clear" w:color="auto" w:fill="FFEFBF" w:themeFill="accent4" w:themeFillTint="3F"/>
      </w:tcPr>
    </w:tblStylePr>
    <w:tblStylePr w:type="band2Horz">
      <w:tblPr/>
      <w:tcPr>
        <w:tcBorders>
          <w:top w:val="single" w:color="FFC000" w:themeColor="accent4" w:sz="8" w:space="0"/>
          <w:left w:val="single" w:color="FFC000" w:themeColor="accent4" w:sz="8" w:space="0"/>
          <w:bottom w:val="single" w:color="FFC000" w:themeColor="accent4" w:sz="8" w:space="0"/>
          <w:right w:val="single" w:color="FFC000" w:themeColor="accent4" w:sz="8" w:space="0"/>
          <w:insideV w:val="single" w:sz="8" w:space="0"/>
        </w:tcBorders>
      </w:tcPr>
    </w:tblStylePr>
  </w:style>
  <w:style w:type="table" w:styleId="20">
    <w:name w:val="Light Grid Accent 5"/>
    <w:basedOn w:val="16"/>
    <w:autoRedefine/>
    <w:qFormat/>
    <w:uiPriority w:val="62"/>
    <w:tblPr>
      <w:tblBorders>
        <w:top w:val="single" w:color="5B9BD5" w:themeColor="accent5" w:sz="8" w:space="0"/>
        <w:left w:val="single" w:color="5B9BD5" w:themeColor="accent5" w:sz="8" w:space="0"/>
        <w:bottom w:val="single" w:color="5B9BD5" w:themeColor="accent5" w:sz="8" w:space="0"/>
        <w:right w:val="single" w:color="5B9BD5" w:themeColor="accent5" w:sz="8" w:space="0"/>
        <w:insideH w:val="single" w:color="5B9BD5" w:themeColor="accent5" w:sz="8" w:space="0"/>
        <w:insideV w:val="single" w:color="5B9BD5" w:themeColor="accent5" w:sz="8" w:space="0"/>
      </w:tblBorders>
    </w:tblPr>
    <w:tblStylePr w:type="firstRow">
      <w:pPr>
        <w:spacing w:before="0" w:after="0" w:line="240" w:lineRule="auto"/>
      </w:pPr>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18" w:space="0"/>
          <w:right w:val="single" w:color="5B9BD5" w:themeColor="accent5" w:sz="8" w:space="0"/>
          <w:insideH w:val="nil"/>
          <w:insideV w:val="single" w:sz="8" w:space="0"/>
        </w:tcBorders>
      </w:tcPr>
    </w:tblStylePr>
    <w:tblStylePr w:type="lastRow">
      <w:pPr>
        <w:spacing w:before="0" w:after="0" w:line="240" w:lineRule="auto"/>
      </w:pPr>
      <w:rPr>
        <w:rFonts w:asciiTheme="majorHAnsi" w:hAnsiTheme="majorHAnsi" w:eastAsiaTheme="majorEastAsia" w:cstheme="majorBidi"/>
        <w:b/>
        <w:bCs/>
      </w:rPr>
      <w:tblPr/>
      <w:tcPr>
        <w:tcBorders>
          <w:top w:val="double" w:color="5B9BD5" w:themeColor="accent5" w:sz="6" w:space="0"/>
          <w:left w:val="single" w:color="5B9BD5" w:themeColor="accent5" w:sz="8" w:space="0"/>
          <w:bottom w:val="single" w:color="5B9BD5" w:themeColor="accent5" w:sz="8" w:space="0"/>
          <w:right w:val="single" w:color="5B9BD5" w:themeColor="accent5" w:sz="8" w:space="0"/>
          <w:insideH w:val="nil"/>
          <w:insideV w:val="single" w:sz="8" w:space="0"/>
        </w:tcBorders>
      </w:tcPr>
    </w:tblStylePr>
    <w:tblStylePr w:type="firstCol">
      <w:rPr>
        <w:rFonts w:asciiTheme="majorHAnsi" w:hAnsiTheme="majorHAnsi" w:eastAsiaTheme="majorEastAsia" w:cstheme="majorBidi"/>
        <w:b/>
        <w:bCs/>
      </w:rPr>
    </w:tblStylePr>
    <w:tblStylePr w:type="lastCol">
      <w:rPr>
        <w:rFonts w:asciiTheme="majorHAnsi" w:hAnsiTheme="majorHAnsi" w:eastAsiaTheme="majorEastAsia" w:cstheme="majorBidi"/>
        <w:b/>
        <w:bCs/>
      </w:rPr>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tcPr>
    </w:tblStylePr>
    <w:tblStylePr w:type="band1Vert">
      <w:tblPr/>
      <w:tcPr>
        <w:tcBorders>
          <w:top w:val="single" w:color="5B9BD5" w:themeColor="accent5" w:sz="8" w:space="0"/>
          <w:left w:val="single" w:color="5B9BD5" w:themeColor="accent5" w:sz="8" w:space="0"/>
          <w:bottom w:val="single" w:color="5B9BD5" w:themeColor="accent5" w:sz="8" w:space="0"/>
          <w:right w:val="single" w:color="5B9BD5" w:themeColor="accent5" w:sz="8" w:space="0"/>
        </w:tcBorders>
        <w:shd w:val="clear" w:color="auto" w:fill="D6E6F4" w:themeFill="accent5" w:themeFillTint="3F"/>
      </w:tcPr>
    </w:tblStylePr>
    <w:tblStylePr w:type="band1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shd w:val="clear" w:color="auto" w:fill="D6E6F4" w:themeFill="accent5" w:themeFillTint="3F"/>
      </w:tcPr>
    </w:tblStylePr>
    <w:tblStylePr w:type="band2Horz">
      <w:tblPr/>
      <w:tcPr>
        <w:tcBorders>
          <w:top w:val="single" w:color="5B9BD5" w:themeColor="accent5" w:sz="8" w:space="0"/>
          <w:left w:val="single" w:color="5B9BD5" w:themeColor="accent5" w:sz="8" w:space="0"/>
          <w:bottom w:val="single" w:color="5B9BD5" w:themeColor="accent5" w:sz="8" w:space="0"/>
          <w:right w:val="single" w:color="5B9BD5" w:themeColor="accent5" w:sz="8" w:space="0"/>
          <w:insideV w:val="single" w:sz="8" w:space="0"/>
        </w:tcBorders>
      </w:tcPr>
    </w:tblStylePr>
  </w:style>
  <w:style w:type="table" w:styleId="21">
    <w:name w:val="Medium Shading 1 Accent 5"/>
    <w:basedOn w:val="16"/>
    <w:autoRedefine/>
    <w:qFormat/>
    <w:uiPriority w:val="63"/>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tblBorders>
    </w:tblPr>
    <w:tblStylePr w:type="firstRow">
      <w:pPr>
        <w:spacing w:before="0" w:after="0" w:line="240" w:lineRule="auto"/>
      </w:pPr>
      <w:rPr>
        <w:b/>
        <w:bCs/>
        <w:color w:val="FFFFFF" w:themeColor="background1"/>
        <w14:textFill>
          <w14:solidFill>
            <w14:schemeClr w14:val="bg1"/>
          </w14:solidFill>
        </w14:textFill>
      </w:rPr>
      <w:tblPr/>
      <w:tcPr>
        <w:tc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shd w:val="clear" w:color="auto" w:fill="5B9BD5" w:themeFill="accent5"/>
      </w:tcPr>
    </w:tblStylePr>
    <w:tblStylePr w:type="lastRow">
      <w:pPr>
        <w:spacing w:before="0" w:after="0" w:line="240" w:lineRule="auto"/>
      </w:pPr>
      <w:rPr>
        <w:b/>
        <w:bCs/>
      </w:rPr>
      <w:tblPr/>
      <w:tcPr>
        <w:tcBorders>
          <w:top w:val="double" w:color="84B4DF" w:themeColor="accent5" w:themeTint="BF" w:sz="6" w:space="0"/>
          <w:left w:val="single" w:color="84B4DF" w:themeColor="accent5" w:themeTint="BF" w:sz="8" w:space="0"/>
          <w:bottom w:val="single" w:color="84B4DF" w:themeColor="accent5" w:themeTint="BF" w:sz="8" w:space="0"/>
          <w:right w:val="single" w:color="84B4DF" w:themeColor="accent5" w:themeTint="BF" w:sz="8" w:space="0"/>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22">
    <w:name w:val="Medium Grid 1 Accent 1"/>
    <w:basedOn w:val="16"/>
    <w:autoRedefine/>
    <w:qFormat/>
    <w:uiPriority w:val="67"/>
    <w:tblPr>
      <w:tblBorders>
        <w:top w:val="single" w:color="7295D2" w:themeColor="accent1" w:themeTint="BF" w:sz="8" w:space="0"/>
        <w:left w:val="single" w:color="7295D2" w:themeColor="accent1" w:themeTint="BF" w:sz="8" w:space="0"/>
        <w:bottom w:val="single" w:color="7295D2" w:themeColor="accent1" w:themeTint="BF" w:sz="8" w:space="0"/>
        <w:right w:val="single" w:color="7295D2" w:themeColor="accent1" w:themeTint="BF" w:sz="8" w:space="0"/>
        <w:insideH w:val="single" w:color="7295D2" w:themeColor="accent1" w:themeTint="BF" w:sz="8" w:space="0"/>
        <w:insideV w:val="single" w:color="7295D2" w:themeColor="accent1" w:themeTint="BF" w:sz="8" w:space="0"/>
      </w:tblBorders>
    </w:tblPr>
    <w:tcPr>
      <w:shd w:val="clear" w:color="auto" w:fill="D0DCF0" w:themeFill="accent1" w:themeFillTint="3F"/>
    </w:tcPr>
    <w:tblStylePr w:type="firstRow">
      <w:rPr>
        <w:b/>
        <w:bCs/>
      </w:rPr>
    </w:tblStylePr>
    <w:tblStylePr w:type="lastRow">
      <w:rPr>
        <w:b/>
        <w:bCs/>
      </w:rPr>
      <w:tblPr/>
      <w:tcPr>
        <w:tcBorders>
          <w:top w:val="single" w:color="7295D2" w:themeColor="accent1" w:themeTint="BF" w:sz="18" w:space="0"/>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23">
    <w:name w:val="Medium Grid 1 Accent 5"/>
    <w:basedOn w:val="16"/>
    <w:autoRedefine/>
    <w:qFormat/>
    <w:uiPriority w:val="67"/>
    <w:tblPr>
      <w:tblBorders>
        <w:top w:val="single" w:color="84B4DF" w:themeColor="accent5" w:themeTint="BF" w:sz="8" w:space="0"/>
        <w:left w:val="single" w:color="84B4DF" w:themeColor="accent5" w:themeTint="BF" w:sz="8" w:space="0"/>
        <w:bottom w:val="single" w:color="84B4DF" w:themeColor="accent5" w:themeTint="BF" w:sz="8" w:space="0"/>
        <w:right w:val="single" w:color="84B4DF" w:themeColor="accent5" w:themeTint="BF" w:sz="8" w:space="0"/>
        <w:insideH w:val="single" w:color="84B4DF" w:themeColor="accent5" w:themeTint="BF" w:sz="8" w:space="0"/>
        <w:insideV w:val="single" w:color="84B4DF" w:themeColor="accent5" w:themeTint="BF" w:sz="8" w:space="0"/>
      </w:tblBorders>
    </w:tblPr>
    <w:tcPr>
      <w:shd w:val="clear" w:color="auto" w:fill="D6E6F4" w:themeFill="accent5" w:themeFillTint="3F"/>
    </w:tcPr>
    <w:tblStylePr w:type="firstRow">
      <w:rPr>
        <w:b/>
        <w:bCs/>
      </w:rPr>
    </w:tblStylePr>
    <w:tblStylePr w:type="lastRow">
      <w:rPr>
        <w:b/>
        <w:bCs/>
      </w:rPr>
      <w:tblPr/>
      <w:tcPr>
        <w:tcBorders>
          <w:top w:val="single" w:color="84B4DF" w:themeColor="accent5" w:themeTint="BF" w:sz="18" w:space="0"/>
        </w:tcBorders>
      </w:tcPr>
    </w:tblStylePr>
    <w:tblStylePr w:type="firstCol">
      <w:rPr>
        <w:b/>
        <w:bCs/>
      </w:rPr>
    </w:tblStylePr>
    <w:tblStylePr w:type="lastCol">
      <w:rPr>
        <w:b/>
        <w:bCs/>
      </w:rPr>
    </w:tblStylePr>
    <w:tblStylePr w:type="band1Vert">
      <w:tblPr/>
      <w:tcPr>
        <w:shd w:val="clear" w:color="auto" w:fill="ADCDEA" w:themeFill="accent5" w:themeFillTint="7F"/>
      </w:tcPr>
    </w:tblStylePr>
    <w:tblStylePr w:type="band1Horz">
      <w:tblPr/>
      <w:tcPr>
        <w:shd w:val="clear" w:color="auto" w:fill="ADCDEA" w:themeFill="accent5" w:themeFillTint="7F"/>
      </w:tcPr>
    </w:tblStylePr>
  </w:style>
  <w:style w:type="character" w:styleId="25">
    <w:name w:val="Strong"/>
    <w:basedOn w:val="24"/>
    <w:qFormat/>
    <w:uiPriority w:val="0"/>
    <w:rPr>
      <w:b/>
    </w:rPr>
  </w:style>
  <w:style w:type="character" w:styleId="26">
    <w:name w:val="page number"/>
    <w:autoRedefine/>
    <w:qFormat/>
    <w:uiPriority w:val="0"/>
    <w:rPr>
      <w:rFonts w:ascii="Times New Roman" w:hAnsi="Times New Roman" w:eastAsia="宋体" w:cs="Times New Roman"/>
    </w:rPr>
  </w:style>
  <w:style w:type="character" w:styleId="27">
    <w:name w:val="Hyperlink"/>
    <w:autoRedefine/>
    <w:unhideWhenUsed/>
    <w:qFormat/>
    <w:uiPriority w:val="99"/>
    <w:rPr>
      <w:color w:val="0563C1"/>
      <w:u w:val="single"/>
    </w:rPr>
  </w:style>
  <w:style w:type="paragraph" w:customStyle="1" w:styleId="28">
    <w:name w:val="本文正文"/>
    <w:basedOn w:val="1"/>
    <w:autoRedefine/>
    <w:qFormat/>
    <w:uiPriority w:val="0"/>
    <w:pPr>
      <w:widowControl/>
      <w:spacing w:line="480" w:lineRule="exact"/>
      <w:ind w:firstLine="200" w:firstLineChars="200"/>
      <w:jc w:val="left"/>
    </w:pPr>
    <w:rPr>
      <w:rFonts w:ascii="宋体" w:hAnsi="宋体"/>
      <w:kern w:val="0"/>
      <w:sz w:val="24"/>
    </w:rPr>
  </w:style>
  <w:style w:type="character" w:customStyle="1" w:styleId="29">
    <w:name w:val="标题 2 字符"/>
    <w:basedOn w:val="24"/>
    <w:link w:val="6"/>
    <w:autoRedefine/>
    <w:qFormat/>
    <w:uiPriority w:val="0"/>
    <w:rPr>
      <w:rFonts w:ascii="Arial" w:hAnsi="Arial" w:eastAsia="黑体" w:cs="Times New Roman"/>
      <w:b/>
      <w:bCs/>
      <w:sz w:val="32"/>
      <w:szCs w:val="32"/>
    </w:rPr>
  </w:style>
  <w:style w:type="character" w:customStyle="1" w:styleId="30">
    <w:name w:val="批注框文本 字符"/>
    <w:link w:val="9"/>
    <w:autoRedefine/>
    <w:qFormat/>
    <w:uiPriority w:val="0"/>
    <w:rPr>
      <w:sz w:val="18"/>
      <w:szCs w:val="18"/>
    </w:rPr>
  </w:style>
  <w:style w:type="character" w:customStyle="1" w:styleId="31">
    <w:name w:val="日期 Char1"/>
    <w:autoRedefine/>
    <w:qFormat/>
    <w:uiPriority w:val="0"/>
    <w:rPr>
      <w:kern w:val="2"/>
      <w:sz w:val="21"/>
      <w:szCs w:val="24"/>
    </w:rPr>
  </w:style>
  <w:style w:type="character" w:customStyle="1" w:styleId="32">
    <w:name w:val="页脚 字符"/>
    <w:link w:val="10"/>
    <w:autoRedefine/>
    <w:qFormat/>
    <w:uiPriority w:val="99"/>
    <w:rPr>
      <w:sz w:val="18"/>
      <w:szCs w:val="18"/>
    </w:rPr>
  </w:style>
  <w:style w:type="character" w:customStyle="1" w:styleId="33">
    <w:name w:val="日期 字符"/>
    <w:link w:val="8"/>
    <w:autoRedefine/>
    <w:qFormat/>
    <w:uiPriority w:val="0"/>
    <w:rPr>
      <w:szCs w:val="24"/>
    </w:rPr>
  </w:style>
  <w:style w:type="character" w:customStyle="1" w:styleId="34">
    <w:name w:val="页眉 字符"/>
    <w:link w:val="11"/>
    <w:autoRedefine/>
    <w:qFormat/>
    <w:uiPriority w:val="0"/>
    <w:rPr>
      <w:sz w:val="18"/>
      <w:szCs w:val="18"/>
    </w:rPr>
  </w:style>
  <w:style w:type="character" w:customStyle="1" w:styleId="35">
    <w:name w:val="页脚 字符1"/>
    <w:basedOn w:val="24"/>
    <w:autoRedefine/>
    <w:semiHidden/>
    <w:qFormat/>
    <w:uiPriority w:val="99"/>
    <w:rPr>
      <w:sz w:val="18"/>
      <w:szCs w:val="18"/>
    </w:rPr>
  </w:style>
  <w:style w:type="character" w:customStyle="1" w:styleId="36">
    <w:name w:val="批注框文本 字符1"/>
    <w:basedOn w:val="24"/>
    <w:autoRedefine/>
    <w:semiHidden/>
    <w:qFormat/>
    <w:uiPriority w:val="99"/>
    <w:rPr>
      <w:sz w:val="18"/>
      <w:szCs w:val="18"/>
    </w:rPr>
  </w:style>
  <w:style w:type="character" w:customStyle="1" w:styleId="37">
    <w:name w:val="页眉 字符1"/>
    <w:basedOn w:val="24"/>
    <w:autoRedefine/>
    <w:semiHidden/>
    <w:qFormat/>
    <w:uiPriority w:val="99"/>
    <w:rPr>
      <w:sz w:val="18"/>
      <w:szCs w:val="18"/>
    </w:rPr>
  </w:style>
  <w:style w:type="character" w:customStyle="1" w:styleId="38">
    <w:name w:val="日期 字符1"/>
    <w:basedOn w:val="24"/>
    <w:autoRedefine/>
    <w:semiHidden/>
    <w:qFormat/>
    <w:uiPriority w:val="99"/>
  </w:style>
  <w:style w:type="paragraph" w:customStyle="1" w:styleId="39">
    <w:name w:val="正式正文"/>
    <w:basedOn w:val="1"/>
    <w:autoRedefine/>
    <w:qFormat/>
    <w:uiPriority w:val="0"/>
    <w:pPr>
      <w:spacing w:line="360" w:lineRule="exact"/>
      <w:ind w:firstLine="552" w:firstLineChars="197"/>
    </w:pPr>
    <w:rPr>
      <w:rFonts w:ascii="仿宋_GB2312" w:eastAsia="仿宋_GB2312"/>
      <w:kern w:val="0"/>
      <w:sz w:val="28"/>
      <w:szCs w:val="28"/>
    </w:rPr>
  </w:style>
  <w:style w:type="paragraph" w:customStyle="1" w:styleId="40">
    <w:name w:val="p0"/>
    <w:basedOn w:val="1"/>
    <w:autoRedefine/>
    <w:qFormat/>
    <w:uiPriority w:val="0"/>
    <w:pPr>
      <w:widowControl/>
    </w:pPr>
    <w:rPr>
      <w:rFonts w:ascii="Times New Roman" w:hAnsi="Times New Roman" w:eastAsia="宋体" w:cs="Times New Roman"/>
      <w:kern w:val="0"/>
      <w:szCs w:val="21"/>
    </w:rPr>
  </w:style>
  <w:style w:type="character" w:customStyle="1" w:styleId="41">
    <w:name w:val="gongkai_content_2_title1"/>
    <w:basedOn w:val="24"/>
    <w:autoRedefine/>
    <w:qFormat/>
    <w:uiPriority w:val="0"/>
    <w:rPr>
      <w:rFonts w:hint="eastAsia" w:ascii="黑体" w:hAnsi="黑体" w:eastAsia="黑体"/>
      <w:b/>
      <w:bCs/>
      <w:sz w:val="28"/>
      <w:szCs w:val="28"/>
    </w:rPr>
  </w:style>
  <w:style w:type="paragraph" w:customStyle="1" w:styleId="42">
    <w:name w:val="s3"/>
    <w:basedOn w:val="1"/>
    <w:autoRedefine/>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43">
    <w:name w:val="s2"/>
    <w:basedOn w:val="24"/>
    <w:autoRedefine/>
    <w:qFormat/>
    <w:uiPriority w:val="0"/>
  </w:style>
  <w:style w:type="table" w:customStyle="1" w:styleId="44">
    <w:name w:val="网格型1"/>
    <w:basedOn w:val="16"/>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5">
    <w:name w:val="网格型2"/>
    <w:basedOn w:val="16"/>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6">
    <w:name w:val="网格型3"/>
    <w:basedOn w:val="16"/>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7">
    <w:name w:val="网格型4"/>
    <w:basedOn w:val="16"/>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48">
    <w:name w:val="网格型5"/>
    <w:basedOn w:val="16"/>
    <w:autoRedefine/>
    <w:qFormat/>
    <w:uiPriority w:val="59"/>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9">
    <w:name w:val="bjh-p"/>
    <w:basedOn w:val="24"/>
    <w:autoRedefine/>
    <w:qFormat/>
    <w:uiPriority w:val="0"/>
  </w:style>
  <w:style w:type="character" w:customStyle="1" w:styleId="50">
    <w:name w:val="bjh-strong"/>
    <w:basedOn w:val="24"/>
    <w:autoRedefine/>
    <w:qFormat/>
    <w:uiPriority w:val="0"/>
  </w:style>
  <w:style w:type="paragraph" w:customStyle="1" w:styleId="51">
    <w:name w:val="Default"/>
    <w:autoRedefine/>
    <w:unhideWhenUsed/>
    <w:qFormat/>
    <w:uiPriority w:val="99"/>
    <w:pPr>
      <w:widowControl w:val="0"/>
      <w:autoSpaceDE w:val="0"/>
      <w:autoSpaceDN w:val="0"/>
      <w:adjustRightInd w:val="0"/>
    </w:pPr>
    <w:rPr>
      <w:rFonts w:hint="eastAsia" w:ascii="Arial" w:hAnsi="Arial" w:eastAsia="宋体" w:cs="Times New Roman"/>
      <w:color w:val="000000"/>
      <w:sz w:val="24"/>
      <w:szCs w:val="22"/>
      <w:lang w:val="en-US" w:eastAsia="zh-CN" w:bidi="ar-SA"/>
    </w:rPr>
  </w:style>
  <w:style w:type="paragraph" w:styleId="52">
    <w:name w:val="List Paragraph"/>
    <w:basedOn w:val="1"/>
    <w:autoRedefine/>
    <w:qFormat/>
    <w:uiPriority w:val="34"/>
    <w:pPr>
      <w:ind w:firstLine="420" w:firstLineChars="200"/>
    </w:pPr>
  </w:style>
  <w:style w:type="character" w:customStyle="1" w:styleId="53">
    <w:name w:val="content1"/>
    <w:basedOn w:val="24"/>
    <w:autoRedefine/>
    <w:qFormat/>
    <w:uiPriority w:val="0"/>
  </w:style>
  <w:style w:type="paragraph" w:customStyle="1" w:styleId="54">
    <w:name w:val="p16"/>
    <w:basedOn w:val="1"/>
    <w:autoRedefine/>
    <w:qFormat/>
    <w:uiPriority w:val="0"/>
    <w:pPr>
      <w:widowControl/>
    </w:pPr>
    <w:rPr>
      <w:kern w:val="0"/>
      <w:szCs w:val="21"/>
    </w:rPr>
  </w:style>
  <w:style w:type="character" w:customStyle="1" w:styleId="55">
    <w:name w:val="NormalCharacter"/>
    <w:autoRedefine/>
    <w:semiHidden/>
    <w:qFormat/>
    <w:uiPriority w:val="0"/>
    <w:rPr>
      <w:rFonts w:asciiTheme="minorHAnsi" w:hAnsiTheme="minorHAnsi" w:eastAsiaTheme="minorEastAsia" w:cstheme="minorBidi"/>
      <w:kern w:val="2"/>
      <w:sz w:val="21"/>
      <w:szCs w:val="22"/>
      <w:lang w:val="en-US" w:eastAsia="zh-CN" w:bidi="ar-SA"/>
    </w:rPr>
  </w:style>
  <w:style w:type="character" w:customStyle="1" w:styleId="56">
    <w:name w:val="font01"/>
    <w:basedOn w:val="24"/>
    <w:qFormat/>
    <w:uiPriority w:val="0"/>
    <w:rPr>
      <w:rFonts w:hint="default" w:ascii="仿宋_GB2312" w:eastAsia="仿宋_GB2312" w:cs="仿宋_GB2312"/>
      <w:color w:val="000000"/>
      <w:sz w:val="24"/>
      <w:szCs w:val="24"/>
      <w:u w:val="none"/>
    </w:rPr>
  </w:style>
  <w:style w:type="paragraph" w:customStyle="1" w:styleId="57">
    <w:name w:val="Table Text"/>
    <w:basedOn w:val="1"/>
    <w:semiHidden/>
    <w:qFormat/>
    <w:uiPriority w:val="0"/>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 Type="http://schemas.openxmlformats.org/officeDocument/2006/relationships/footer" Target="footer3.xml"/><Relationship Id="rId4" Type="http://schemas.openxmlformats.org/officeDocument/2006/relationships/footer" Target="footer2.xml"/><Relationship Id="rId37" Type="http://schemas.openxmlformats.org/officeDocument/2006/relationships/fontTable" Target="fontTable.xml"/><Relationship Id="rId36" Type="http://schemas.openxmlformats.org/officeDocument/2006/relationships/customXml" Target="../customXml/item2.xml"/><Relationship Id="rId35" Type="http://schemas.openxmlformats.org/officeDocument/2006/relationships/numbering" Target="numbering.xml"/><Relationship Id="rId34" Type="http://schemas.openxmlformats.org/officeDocument/2006/relationships/customXml" Target="../customXml/item1.xml"/><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pn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pn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png"/><Relationship Id="rId10" Type="http://schemas.openxmlformats.org/officeDocument/2006/relationships/image" Target="media/image3.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contractReview xmlns="http://schemas.wps.cn/vas-ai-hub/contract-review">
  <reviewItems>
    <reviewItem>
      <errorID>6c9a36dc-3ca6-4b11-a64b-919179ceac10</errorID>
      <errorWord>社区教育.</errorWord>
      <group>L1_Word</group>
      <groupName>字词问题</groupName>
      <ability>L2_Typo</ability>
      <abilityName>字词错误</abilityName>
      <candidateList/>
      <explain>无建议</explain>
      <paraID>538F0B19</paraID>
      <start>5</start>
      <end>10</end>
      <status>unmodified</status>
      <modifiedWord/>
      <trackRevisions>false</trackRevisions>
    </reviewItem>
    <reviewItem>
      <errorID>238f1746-80d3-4554-96bc-bda8cfc3aa70</errorID>
      <errorWord>6.5</errorWord>
      <group>L1_AI</group>
      <groupName>深度校对</groupName>
      <ability>L2_AI_Title</ability>
      <abilityName>标题检查</abilityName>
      <candidateList>
        <item>6.4</item>
      </candidateList>
      <explain>标题顺序错误，请检查标题顺序是否合理。</explain>
      <paraID>1D9F6EBF</paraID>
      <start>0</start>
      <end>3</end>
      <status>modified</status>
      <modifiedWord>6.4</modifiedWord>
      <trackRevisions>false</trackRevisions>
    </reviewItem>
    <reviewItem>
      <errorID>7a0ae6be-6c43-415e-9884-e6e2978de9bc</errorID>
      <errorWord>温时控制</errorWord>
      <group>L1_Knowledge</group>
      <groupName>知识性问题</groupName>
      <ability>L2_Term</ability>
      <abilityName>专业术语</abilityName>
      <candidateList>
        <item>实时控制</item>
      </candidateList>
      <explain/>
      <paraID>3CBD0BAB</paraID>
      <start>41</start>
      <end>45</end>
      <status>ignored</status>
      <modifiedWord/>
      <trackRevisions>false</trackRevisions>
    </reviewItem>
    <reviewItem>
      <errorID>a21f42fe-3cfa-4209-ba3e-61011467dea5</errorID>
      <errorWord>，</errorWord>
      <group>L1_Word</group>
      <groupName>字词问题</groupName>
      <ability>L2_Typo</ability>
      <abilityName>字词错误</abilityName>
      <candidateList>
        <item>，在</item>
      </candidateList>
      <explain/>
      <paraID>3CBD0BAB</paraID>
      <start>67</start>
      <end>69</end>
      <status>modified</status>
      <modifiedWord>，在</modifiedWord>
      <trackRevisions>false</trackRevisions>
    </reviewItem>
    <reviewItem>
      <errorID>82d02b5e-fa18-46db-a4af-23e579040dd8</errorID>
      <errorWord>旗委、政府</errorWord>
      <group>L1_Political</group>
      <groupName>政治性问题</groupName>
      <ability>L2_Unpolitical</ability>
      <abilityName>政治敏感错误</abilityName>
      <candidateList>
        <item>旗委、旗政府</item>
      </candidateList>
      <explain/>
      <paraID>41923F33</paraID>
      <start>1</start>
      <end>6</end>
      <status>ignored</status>
      <modifiedWord/>
      <trackRevisions>false</trackRevisions>
    </reviewItem>
    <reviewItem>
      <errorID>2619efe3-e3be-4cc2-9fe3-84c1df9a4c89</errorID>
      <errorWord>诊改</errorWord>
      <group>L1_Word</group>
      <groupName>字词问题</groupName>
      <ability>L2_Typo</ability>
      <abilityName>字词错误</abilityName>
      <candidateList>
        <item>整改</item>
      </candidateList>
      <explain/>
      <paraID>41923F33</paraID>
      <start>199</start>
      <end>201</end>
      <status>ignored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104d2b-348a-47a9-95fb-14a8855cdc6b}">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47</Pages>
  <Words>16405</Words>
  <Characters>22872</Characters>
  <Lines>228</Lines>
  <Paragraphs>64</Paragraphs>
  <TotalTime>10</TotalTime>
  <ScaleCrop>false</ScaleCrop>
  <LinksUpToDate>false</LinksUpToDate>
  <CharactersWithSpaces>23074</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2018-12-19T17:53:00Z</dcterms:created>
  <dc:creator>460157007@qq.com</dc:creator>
  <cp:lastModifiedBy>王骄</cp:lastModifiedBy>
  <cp:lastPrinted>2026-01-01T11:01:00Z</cp:lastPrinted>
  <dcterms:modified xsi:type="dcterms:W3CDTF">2026-01-05T01:09:09Z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2DF503E090524D76A817BEC5F68108FC_13</vt:lpwstr>
  </property>
  <property fmtid="{D5CDD505-2E9C-101B-9397-08002B2CF9AE}" pid="4" name="KSOTemplateDocerSaveRecord">
    <vt:lpwstr>eyJoZGlkIjoiMDQxNTAyMWI4OTQ4MThhODY2NzI0ZDZlMDZjMThhOTYiLCJ1c2VySWQiOiIyNzQxMTUzNTYifQ==</vt:lpwstr>
  </property>
</Properties>
</file>